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C3E934" w14:textId="77777777" w:rsidR="008B4CBC" w:rsidRDefault="008B4CBC" w:rsidP="008B4CBC">
      <w:pPr>
        <w:pStyle w:val="F2-zkladn"/>
        <w:spacing w:line="276" w:lineRule="auto"/>
        <w:rPr>
          <w:b/>
          <w:sz w:val="28"/>
          <w:szCs w:val="28"/>
        </w:rPr>
      </w:pPr>
      <w:r>
        <w:rPr>
          <w:b/>
          <w:sz w:val="28"/>
          <w:szCs w:val="28"/>
        </w:rPr>
        <w:t>TISKOVÁ ZPRÁVA</w:t>
      </w:r>
    </w:p>
    <w:p w14:paraId="6A51F8D5" w14:textId="7E0B30B1" w:rsidR="008B4CBC" w:rsidRPr="00AC3268" w:rsidRDefault="008B4CBC" w:rsidP="00AC3268">
      <w:pPr>
        <w:pStyle w:val="F2-zkladn"/>
        <w:spacing w:line="276" w:lineRule="auto"/>
        <w:jc w:val="right"/>
        <w:rPr>
          <w:b/>
          <w:sz w:val="28"/>
          <w:szCs w:val="28"/>
        </w:rPr>
      </w:pPr>
      <w:r w:rsidRPr="00455A3C">
        <w:tab/>
      </w:r>
      <w:r w:rsidRPr="00893890">
        <w:t>Praha,</w:t>
      </w:r>
      <w:r>
        <w:t xml:space="preserve"> </w:t>
      </w:r>
      <w:r w:rsidR="008605F9">
        <w:t>2</w:t>
      </w:r>
      <w:r w:rsidR="003236C9">
        <w:t>3</w:t>
      </w:r>
      <w:r>
        <w:t xml:space="preserve">. </w:t>
      </w:r>
      <w:r w:rsidR="00BA7A99">
        <w:t xml:space="preserve">října </w:t>
      </w:r>
      <w:r w:rsidRPr="00893890">
        <w:t>202</w:t>
      </w:r>
      <w:r>
        <w:t>6</w:t>
      </w:r>
    </w:p>
    <w:p w14:paraId="480159E8" w14:textId="77777777" w:rsidR="003236C9" w:rsidRPr="003236C9" w:rsidRDefault="003236C9" w:rsidP="003236C9">
      <w:pPr>
        <w:spacing w:line="360" w:lineRule="auto"/>
        <w:rPr>
          <w:b/>
          <w:bCs/>
          <w:kern w:val="28"/>
          <w:sz w:val="28"/>
          <w:szCs w:val="28"/>
        </w:rPr>
      </w:pPr>
      <w:r w:rsidRPr="003236C9">
        <w:rPr>
          <w:b/>
          <w:bCs/>
          <w:kern w:val="28"/>
          <w:sz w:val="28"/>
          <w:szCs w:val="28"/>
        </w:rPr>
        <w:t>Ochrana a nejistota: Proč stále více investorů sází na aktivně řízená ETF</w:t>
      </w:r>
    </w:p>
    <w:p w14:paraId="2F70DDAB" w14:textId="0BFC6304" w:rsidR="003236C9" w:rsidRPr="003236C9" w:rsidRDefault="003236C9" w:rsidP="003236C9">
      <w:pPr>
        <w:rPr>
          <w:rFonts w:eastAsia="MS Mincho"/>
          <w:b/>
          <w:bCs/>
          <w:lang w:eastAsia="ja-JP"/>
        </w:rPr>
      </w:pPr>
      <w:r w:rsidRPr="003236C9">
        <w:rPr>
          <w:b/>
          <w:bCs/>
        </w:rPr>
        <w:t xml:space="preserve">Nová data ukazují, že investoři chtějí ve větší míře využívat aktivně řízená ETF, aby zvýšili odolnost svých portfolií a zároveň využili růstové příležitosti, které přináší geopolitické napětí a s tím spojené výkyvy na trzích. K dosažení </w:t>
      </w:r>
      <w:proofErr w:type="spellStart"/>
      <w:r w:rsidRPr="003236C9">
        <w:rPr>
          <w:b/>
          <w:bCs/>
        </w:rPr>
        <w:t>nadvýnosů</w:t>
      </w:r>
      <w:proofErr w:type="spellEnd"/>
      <w:r w:rsidRPr="003236C9">
        <w:rPr>
          <w:b/>
          <w:bCs/>
        </w:rPr>
        <w:t xml:space="preserve"> oproti trhu však ETF potřebují správné vstupní </w:t>
      </w:r>
      <w:proofErr w:type="spellStart"/>
      <w:proofErr w:type="gramStart"/>
      <w:r w:rsidRPr="003236C9">
        <w:rPr>
          <w:b/>
          <w:bCs/>
        </w:rPr>
        <w:t>informace.</w:t>
      </w:r>
      <w:r w:rsidR="00F93F3C" w:rsidRPr="00F93F3C">
        <w:rPr>
          <w:rFonts w:eastAsia="MS Mincho"/>
          <w:b/>
          <w:bCs/>
          <w:lang w:eastAsia="ja-JP"/>
        </w:rPr>
        <w:t>Max</w:t>
      </w:r>
      <w:proofErr w:type="spellEnd"/>
      <w:proofErr w:type="gramEnd"/>
      <w:r w:rsidR="00F93F3C" w:rsidRPr="00F93F3C">
        <w:rPr>
          <w:rFonts w:eastAsia="MS Mincho"/>
          <w:b/>
          <w:bCs/>
          <w:lang w:eastAsia="ja-JP"/>
        </w:rPr>
        <w:t xml:space="preserve"> </w:t>
      </w:r>
      <w:proofErr w:type="spellStart"/>
      <w:r w:rsidR="00F93F3C" w:rsidRPr="00F93F3C">
        <w:rPr>
          <w:rFonts w:eastAsia="MS Mincho"/>
          <w:b/>
          <w:bCs/>
          <w:lang w:eastAsia="ja-JP"/>
        </w:rPr>
        <w:t>Dawe</w:t>
      </w:r>
      <w:proofErr w:type="spellEnd"/>
      <w:r w:rsidR="00F93F3C" w:rsidRPr="00F93F3C">
        <w:rPr>
          <w:rFonts w:eastAsia="MS Mincho"/>
          <w:b/>
          <w:bCs/>
          <w:lang w:eastAsia="ja-JP"/>
        </w:rPr>
        <w:t xml:space="preserve">, obchodní ředitel ETF, </w:t>
      </w:r>
      <w:proofErr w:type="spellStart"/>
      <w:r w:rsidR="00F93F3C" w:rsidRPr="00F93F3C">
        <w:rPr>
          <w:rFonts w:eastAsia="MS Mincho"/>
          <w:b/>
          <w:bCs/>
          <w:lang w:eastAsia="ja-JP"/>
        </w:rPr>
        <w:t>Fidelity</w:t>
      </w:r>
      <w:proofErr w:type="spellEnd"/>
      <w:r w:rsidR="00F93F3C" w:rsidRPr="00F93F3C">
        <w:rPr>
          <w:rFonts w:eastAsia="MS Mincho"/>
          <w:b/>
          <w:bCs/>
          <w:lang w:eastAsia="ja-JP"/>
        </w:rPr>
        <w:t xml:space="preserve"> International</w:t>
      </w:r>
    </w:p>
    <w:p w14:paraId="45064B89" w14:textId="77777777" w:rsidR="003236C9" w:rsidRPr="003236C9" w:rsidRDefault="003236C9" w:rsidP="003236C9">
      <w:pPr>
        <w:rPr>
          <w:rFonts w:eastAsia="MS Mincho"/>
          <w:lang w:eastAsia="ja-JP"/>
        </w:rPr>
      </w:pPr>
      <w:r w:rsidRPr="003236C9">
        <w:rPr>
          <w:rFonts w:eastAsia="MS Mincho"/>
          <w:lang w:eastAsia="ja-JP"/>
        </w:rPr>
        <w:t xml:space="preserve">Nový průzkum společnosti </w:t>
      </w:r>
      <w:proofErr w:type="spellStart"/>
      <w:r w:rsidRPr="003236C9">
        <w:rPr>
          <w:rFonts w:eastAsia="MS Mincho"/>
          <w:lang w:eastAsia="ja-JP"/>
        </w:rPr>
        <w:t>Fidelity</w:t>
      </w:r>
      <w:proofErr w:type="spellEnd"/>
      <w:r w:rsidRPr="003236C9">
        <w:rPr>
          <w:rFonts w:eastAsia="MS Mincho"/>
          <w:lang w:eastAsia="ja-JP"/>
        </w:rPr>
        <w:t xml:space="preserve"> International mezi evropskými investory profesionály ukazuje, že aktivně řízená ETF se stávají preferovaným řešením některých z nejvýznamnějších investičních výzev současnosti.</w:t>
      </w:r>
    </w:p>
    <w:p w14:paraId="1D8CA555" w14:textId="69D3D8C7" w:rsidR="003236C9" w:rsidRPr="003236C9" w:rsidRDefault="003236C9" w:rsidP="003236C9">
      <w:pPr>
        <w:rPr>
          <w:rFonts w:eastAsia="MS Mincho"/>
          <w:lang w:eastAsia="ja-JP"/>
        </w:rPr>
      </w:pPr>
      <w:r w:rsidRPr="003236C9">
        <w:rPr>
          <w:rFonts w:eastAsia="MS Mincho"/>
          <w:lang w:eastAsia="ja-JP"/>
        </w:rPr>
        <w:t>Investoři očekávají, že podíl aktivně řízených ETF, která nesledují žádný index, na jejich celkových portfoliích vzroste z dnešních průměrných přibližně 10 % na téměř 15 % během příštích 18 měsíců. Průzkum zahrnující investiční odborníky z různých typů institucí, včetně privátních bank, správců majetku, rodinných investičních kanceláří (</w:t>
      </w:r>
      <w:proofErr w:type="spellStart"/>
      <w:r w:rsidRPr="003236C9">
        <w:rPr>
          <w:rFonts w:eastAsia="MS Mincho"/>
          <w:lang w:eastAsia="ja-JP"/>
        </w:rPr>
        <w:t>family</w:t>
      </w:r>
      <w:proofErr w:type="spellEnd"/>
      <w:r w:rsidRPr="003236C9">
        <w:rPr>
          <w:rFonts w:eastAsia="MS Mincho"/>
          <w:lang w:eastAsia="ja-JP"/>
        </w:rPr>
        <w:t xml:space="preserve"> </w:t>
      </w:r>
      <w:proofErr w:type="spellStart"/>
      <w:r w:rsidRPr="003236C9">
        <w:rPr>
          <w:rFonts w:eastAsia="MS Mincho"/>
          <w:lang w:eastAsia="ja-JP"/>
        </w:rPr>
        <w:t>offices</w:t>
      </w:r>
      <w:proofErr w:type="spellEnd"/>
      <w:r w:rsidRPr="003236C9">
        <w:rPr>
          <w:rFonts w:eastAsia="MS Mincho"/>
          <w:lang w:eastAsia="ja-JP"/>
        </w:rPr>
        <w:t>) a správců aktiv, ukazuje, že poptávku po aktivně řízených ETF pohání především geopolitická nejistota, obavy z vysokého ocenění aktiv a rizika spojená s nadměrnou koncentrací trhu.</w:t>
      </w:r>
    </w:p>
    <w:p w14:paraId="37AF6A32" w14:textId="43716554" w:rsidR="003236C9" w:rsidRDefault="003236C9" w:rsidP="003236C9">
      <w:pPr>
        <w:rPr>
          <w:rFonts w:eastAsia="MS Mincho"/>
          <w:b/>
          <w:bCs/>
          <w:lang w:eastAsia="ja-JP"/>
        </w:rPr>
      </w:pPr>
      <w:r>
        <w:rPr>
          <w:noProof/>
          <w:lang w:eastAsia="ja-JP"/>
        </w:rPr>
        <w:drawing>
          <wp:anchor distT="0" distB="0" distL="114300" distR="114300" simplePos="0" relativeHeight="251658240" behindDoc="1" locked="0" layoutInCell="1" allowOverlap="1" wp14:anchorId="4CAD7DF4" wp14:editId="70491118">
            <wp:simplePos x="0" y="0"/>
            <wp:positionH relativeFrom="margin">
              <wp:posOffset>-1270</wp:posOffset>
            </wp:positionH>
            <wp:positionV relativeFrom="paragraph">
              <wp:posOffset>560705</wp:posOffset>
            </wp:positionV>
            <wp:extent cx="5759450" cy="2487295"/>
            <wp:effectExtent l="0" t="0" r="0" b="8255"/>
            <wp:wrapTight wrapText="bothSides">
              <wp:wrapPolygon edited="0">
                <wp:start x="0" y="0"/>
                <wp:lineTo x="0" y="21506"/>
                <wp:lineTo x="21505" y="21506"/>
                <wp:lineTo x="21505" y="0"/>
                <wp:lineTo x="0" y="0"/>
              </wp:wrapPolygon>
            </wp:wrapTight>
            <wp:docPr id="142516948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169485" name="Obrázek 1425169485"/>
                    <pic:cNvPicPr/>
                  </pic:nvPicPr>
                  <pic:blipFill>
                    <a:blip r:embed="rId11">
                      <a:extLst>
                        <a:ext uri="{28A0092B-C50C-407E-A947-70E740481C1C}">
                          <a14:useLocalDpi xmlns:a14="http://schemas.microsoft.com/office/drawing/2010/main" val="0"/>
                        </a:ext>
                      </a:extLst>
                    </a:blip>
                    <a:stretch>
                      <a:fillRect/>
                    </a:stretch>
                  </pic:blipFill>
                  <pic:spPr>
                    <a:xfrm>
                      <a:off x="0" y="0"/>
                      <a:ext cx="5759450" cy="2487295"/>
                    </a:xfrm>
                    <a:prstGeom prst="rect">
                      <a:avLst/>
                    </a:prstGeom>
                  </pic:spPr>
                </pic:pic>
              </a:graphicData>
            </a:graphic>
          </wp:anchor>
        </w:drawing>
      </w:r>
      <w:r w:rsidRPr="003236C9">
        <w:rPr>
          <w:rFonts w:eastAsia="MS Mincho"/>
          <w:b/>
          <w:bCs/>
          <w:lang w:eastAsia="ja-JP"/>
        </w:rPr>
        <w:t>Graf 1: Co investorům do ETF nedá spát</w:t>
      </w:r>
    </w:p>
    <w:p w14:paraId="63EC70E8" w14:textId="3ECFC2CF" w:rsidR="003236C9" w:rsidRPr="003236C9" w:rsidRDefault="003236C9" w:rsidP="003236C9">
      <w:pPr>
        <w:pStyle w:val="F2-zkladn"/>
        <w:rPr>
          <w:lang w:eastAsia="ja-JP"/>
        </w:rPr>
      </w:pPr>
    </w:p>
    <w:p w14:paraId="5E7AF123" w14:textId="7F00A440" w:rsidR="003236C9" w:rsidRPr="00B32635" w:rsidRDefault="003236C9" w:rsidP="003236C9">
      <w:pPr>
        <w:pStyle w:val="F2-zkladn"/>
        <w:rPr>
          <w:rFonts w:eastAsia="MS Mincho"/>
          <w:sz w:val="18"/>
          <w:szCs w:val="18"/>
          <w:lang w:eastAsia="ja-JP"/>
        </w:rPr>
      </w:pPr>
      <w:r>
        <w:rPr>
          <w:rFonts w:eastAsia="MS Mincho"/>
          <w:lang w:eastAsia="ja-JP"/>
        </w:rPr>
        <w:br w:type="page"/>
      </w:r>
      <w:r w:rsidRPr="00B32635">
        <w:rPr>
          <w:rFonts w:eastAsia="MS Mincho"/>
          <w:sz w:val="18"/>
          <w:szCs w:val="18"/>
          <w:lang w:eastAsia="ja-JP"/>
        </w:rPr>
        <w:lastRenderedPageBreak/>
        <w:t xml:space="preserve">Zdroj: </w:t>
      </w:r>
      <w:proofErr w:type="spellStart"/>
      <w:r w:rsidRPr="00B32635">
        <w:rPr>
          <w:rFonts w:eastAsia="MS Mincho"/>
          <w:sz w:val="18"/>
          <w:szCs w:val="18"/>
          <w:lang w:eastAsia="ja-JP"/>
        </w:rPr>
        <w:t>Fidelity</w:t>
      </w:r>
      <w:proofErr w:type="spellEnd"/>
      <w:r w:rsidRPr="00B32635">
        <w:rPr>
          <w:rFonts w:eastAsia="MS Mincho"/>
          <w:sz w:val="18"/>
          <w:szCs w:val="18"/>
          <w:lang w:eastAsia="ja-JP"/>
        </w:rPr>
        <w:t xml:space="preserve"> International, </w:t>
      </w:r>
      <w:proofErr w:type="spellStart"/>
      <w:r w:rsidRPr="00B32635">
        <w:rPr>
          <w:rFonts w:eastAsia="MS Mincho"/>
          <w:sz w:val="18"/>
          <w:szCs w:val="18"/>
          <w:lang w:eastAsia="ja-JP"/>
        </w:rPr>
        <w:t>CoreData</w:t>
      </w:r>
      <w:proofErr w:type="spellEnd"/>
      <w:r w:rsidRPr="00B32635">
        <w:rPr>
          <w:rFonts w:eastAsia="MS Mincho"/>
          <w:sz w:val="18"/>
          <w:szCs w:val="18"/>
          <w:lang w:eastAsia="ja-JP"/>
        </w:rPr>
        <w:t xml:space="preserve"> </w:t>
      </w:r>
      <w:proofErr w:type="spellStart"/>
      <w:r w:rsidRPr="00B32635">
        <w:rPr>
          <w:rFonts w:eastAsia="MS Mincho"/>
          <w:sz w:val="18"/>
          <w:szCs w:val="18"/>
          <w:lang w:eastAsia="ja-JP"/>
        </w:rPr>
        <w:t>Research</w:t>
      </w:r>
      <w:proofErr w:type="spellEnd"/>
      <w:r w:rsidRPr="00B32635">
        <w:rPr>
          <w:rFonts w:eastAsia="MS Mincho"/>
          <w:sz w:val="18"/>
          <w:szCs w:val="18"/>
          <w:lang w:eastAsia="ja-JP"/>
        </w:rPr>
        <w:t>, říjen 2026. Otázka: „Seřaďte následující výzvy v oblasti investování a konstrukce portfolia podle toho, jak jsou významné, od nejvýznamnější po nejméně významnou, a to s výhledem na příštích 12 měsíců.“ Graf znázorňuje procentní podíl respondentů, kteří danou výzvu zařadili mezi tři nejvýznamnější.</w:t>
      </w:r>
    </w:p>
    <w:p w14:paraId="0BCBB2A6" w14:textId="77777777" w:rsidR="003236C9" w:rsidRDefault="003236C9">
      <w:pPr>
        <w:spacing w:before="0" w:line="240" w:lineRule="auto"/>
        <w:jc w:val="left"/>
        <w:rPr>
          <w:rFonts w:eastAsia="MS Mincho"/>
          <w:lang w:eastAsia="ja-JP"/>
        </w:rPr>
      </w:pPr>
    </w:p>
    <w:p w14:paraId="7149A892" w14:textId="77777777" w:rsidR="003236C9" w:rsidRPr="003236C9" w:rsidRDefault="003236C9" w:rsidP="003236C9">
      <w:pPr>
        <w:spacing w:before="0"/>
        <w:jc w:val="left"/>
        <w:rPr>
          <w:rFonts w:eastAsia="MS Mincho"/>
          <w:lang w:eastAsia="ja-JP"/>
        </w:rPr>
      </w:pPr>
      <w:r w:rsidRPr="003236C9">
        <w:rPr>
          <w:rFonts w:eastAsia="MS Mincho"/>
          <w:lang w:eastAsia="ja-JP"/>
        </w:rPr>
        <w:t>Mezi respondenty průzkumu:</w:t>
      </w:r>
    </w:p>
    <w:p w14:paraId="31D4E01A" w14:textId="347FFA33" w:rsidR="003236C9" w:rsidRPr="003236C9" w:rsidRDefault="003236C9" w:rsidP="003236C9">
      <w:pPr>
        <w:spacing w:before="0"/>
        <w:jc w:val="left"/>
        <w:rPr>
          <w:rFonts w:eastAsia="MS Mincho"/>
          <w:lang w:eastAsia="ja-JP"/>
        </w:rPr>
      </w:pPr>
    </w:p>
    <w:p w14:paraId="4EA6110C" w14:textId="08F81045" w:rsidR="003236C9" w:rsidRPr="003236C9" w:rsidRDefault="003236C9" w:rsidP="003236C9">
      <w:pPr>
        <w:pStyle w:val="Odstavecseseznamem"/>
        <w:numPr>
          <w:ilvl w:val="0"/>
          <w:numId w:val="32"/>
        </w:numPr>
        <w:spacing w:before="0"/>
        <w:jc w:val="left"/>
        <w:rPr>
          <w:rFonts w:eastAsia="MS Mincho"/>
          <w:lang w:eastAsia="ja-JP"/>
        </w:rPr>
      </w:pPr>
      <w:r w:rsidRPr="003236C9">
        <w:rPr>
          <w:rFonts w:eastAsia="MS Mincho"/>
          <w:lang w:eastAsia="ja-JP"/>
        </w:rPr>
        <w:t>58 % souhlasí s tím, že rostoucí riziko koncentrace trhu zvyšuje atraktivitu aktivně řízených ETF oproti tradičním ETF, která sledují určitý index.</w:t>
      </w:r>
    </w:p>
    <w:p w14:paraId="53E8DDC3" w14:textId="21FCB6E4" w:rsidR="003236C9" w:rsidRPr="003236C9" w:rsidRDefault="003236C9" w:rsidP="003236C9">
      <w:pPr>
        <w:pStyle w:val="Odstavecseseznamem"/>
        <w:numPr>
          <w:ilvl w:val="0"/>
          <w:numId w:val="32"/>
        </w:numPr>
        <w:spacing w:before="0"/>
        <w:jc w:val="left"/>
        <w:rPr>
          <w:rFonts w:eastAsia="MS Mincho"/>
          <w:lang w:eastAsia="ja-JP"/>
        </w:rPr>
      </w:pPr>
      <w:r w:rsidRPr="003236C9">
        <w:rPr>
          <w:rFonts w:eastAsia="MS Mincho"/>
          <w:lang w:eastAsia="ja-JP"/>
        </w:rPr>
        <w:t>28 % uvádí, že využívají aktivně řízená ETF jako strategickou nebo základní složku portfolia.</w:t>
      </w:r>
    </w:p>
    <w:p w14:paraId="27906AF7" w14:textId="6A34A819" w:rsidR="003236C9" w:rsidRDefault="003236C9" w:rsidP="003236C9">
      <w:pPr>
        <w:pStyle w:val="Odstavecseseznamem"/>
        <w:numPr>
          <w:ilvl w:val="0"/>
          <w:numId w:val="32"/>
        </w:numPr>
        <w:spacing w:before="0"/>
        <w:jc w:val="left"/>
        <w:rPr>
          <w:rFonts w:eastAsia="MS Mincho"/>
          <w:lang w:eastAsia="ja-JP"/>
        </w:rPr>
      </w:pPr>
      <w:r w:rsidRPr="003236C9">
        <w:rPr>
          <w:rFonts w:eastAsia="MS Mincho"/>
          <w:lang w:eastAsia="ja-JP"/>
        </w:rPr>
        <w:t>59 % očekává, že aktivně řízená ETF budou v příštích pěti letech hrát v klientských portfoliích výrazně významnější roli.</w:t>
      </w:r>
    </w:p>
    <w:p w14:paraId="6D7B3627" w14:textId="77777777" w:rsidR="003236C9" w:rsidRPr="003236C9" w:rsidRDefault="003236C9" w:rsidP="003236C9">
      <w:pPr>
        <w:pStyle w:val="Odstavecseseznamem"/>
        <w:spacing w:before="0"/>
        <w:jc w:val="left"/>
        <w:rPr>
          <w:rFonts w:eastAsia="MS Mincho"/>
          <w:lang w:eastAsia="ja-JP"/>
        </w:rPr>
      </w:pPr>
    </w:p>
    <w:p w14:paraId="6A64597F" w14:textId="77777777" w:rsidR="003236C9" w:rsidRDefault="003236C9" w:rsidP="003236C9">
      <w:pPr>
        <w:spacing w:before="0"/>
        <w:jc w:val="left"/>
        <w:rPr>
          <w:rFonts w:eastAsia="MS Mincho"/>
          <w:b/>
          <w:bCs/>
          <w:lang w:eastAsia="ja-JP"/>
        </w:rPr>
      </w:pPr>
      <w:r w:rsidRPr="003236C9">
        <w:rPr>
          <w:rFonts w:eastAsia="MS Mincho"/>
          <w:b/>
          <w:bCs/>
          <w:lang w:eastAsia="ja-JP"/>
        </w:rPr>
        <w:t>Jak aktivně řízená ETF pomáhají řešit výzvy při správě portfolia</w:t>
      </w:r>
    </w:p>
    <w:p w14:paraId="6F26DFBA" w14:textId="7C81AFEA" w:rsidR="003236C9" w:rsidRPr="003236C9" w:rsidRDefault="003236C9" w:rsidP="003236C9">
      <w:pPr>
        <w:pStyle w:val="F2-zkladn"/>
        <w:rPr>
          <w:lang w:eastAsia="ja-JP"/>
        </w:rPr>
      </w:pPr>
    </w:p>
    <w:p w14:paraId="7DFBA728" w14:textId="77777777" w:rsidR="003236C9" w:rsidRDefault="003236C9" w:rsidP="003236C9">
      <w:pPr>
        <w:spacing w:before="0"/>
        <w:jc w:val="left"/>
        <w:rPr>
          <w:rFonts w:eastAsia="MS Mincho"/>
          <w:lang w:eastAsia="ja-JP"/>
        </w:rPr>
      </w:pPr>
      <w:r w:rsidRPr="003236C9">
        <w:rPr>
          <w:rFonts w:eastAsia="MS Mincho"/>
          <w:lang w:eastAsia="ja-JP"/>
        </w:rPr>
        <w:t>Tato zjištění přicházejí v době, kdy celý trh zaznamenává další rok silného přílivu investic do ETF.</w:t>
      </w:r>
    </w:p>
    <w:p w14:paraId="0FFDAA8C" w14:textId="77777777" w:rsidR="003236C9" w:rsidRDefault="003236C9" w:rsidP="003236C9">
      <w:pPr>
        <w:spacing w:before="0"/>
        <w:jc w:val="left"/>
        <w:rPr>
          <w:rFonts w:eastAsia="MS Mincho"/>
          <w:lang w:eastAsia="ja-JP"/>
        </w:rPr>
      </w:pPr>
    </w:p>
    <w:p w14:paraId="58A2000B" w14:textId="77777777" w:rsidR="003236C9" w:rsidRDefault="003236C9" w:rsidP="003236C9">
      <w:pPr>
        <w:spacing w:before="0"/>
        <w:jc w:val="left"/>
        <w:rPr>
          <w:rFonts w:eastAsia="MS Mincho"/>
          <w:b/>
          <w:bCs/>
          <w:lang w:eastAsia="ja-JP"/>
        </w:rPr>
      </w:pPr>
      <w:r w:rsidRPr="003236C9">
        <w:rPr>
          <w:rFonts w:eastAsia="MS Mincho"/>
          <w:b/>
          <w:bCs/>
          <w:lang w:eastAsia="ja-JP"/>
        </w:rPr>
        <w:t>Graf 2: Toky kapitálu do aktivních UCITS ETF podle kalendářních let</w:t>
      </w:r>
    </w:p>
    <w:p w14:paraId="4BBE7566" w14:textId="77777777" w:rsidR="003236C9" w:rsidRDefault="003236C9" w:rsidP="003236C9">
      <w:pPr>
        <w:spacing w:before="0"/>
        <w:jc w:val="left"/>
        <w:rPr>
          <w:rFonts w:eastAsia="MS Mincho"/>
          <w:b/>
          <w:bCs/>
          <w:lang w:eastAsia="ja-JP"/>
        </w:rPr>
      </w:pPr>
    </w:p>
    <w:p w14:paraId="16FC8F52" w14:textId="164697B3" w:rsidR="003236C9" w:rsidRDefault="003236C9" w:rsidP="003236C9">
      <w:pPr>
        <w:spacing w:before="0"/>
        <w:jc w:val="left"/>
        <w:rPr>
          <w:rFonts w:eastAsia="MS Mincho"/>
          <w:lang w:eastAsia="ja-JP"/>
        </w:rPr>
      </w:pPr>
      <w:r>
        <w:rPr>
          <w:rFonts w:eastAsia="MS Mincho"/>
          <w:noProof/>
          <w:lang w:eastAsia="ja-JP"/>
        </w:rPr>
        <w:drawing>
          <wp:anchor distT="0" distB="0" distL="114300" distR="114300" simplePos="0" relativeHeight="251659264" behindDoc="1" locked="0" layoutInCell="1" allowOverlap="1" wp14:anchorId="58729F42" wp14:editId="68006D21">
            <wp:simplePos x="0" y="0"/>
            <wp:positionH relativeFrom="margin">
              <wp:posOffset>-1270</wp:posOffset>
            </wp:positionH>
            <wp:positionV relativeFrom="paragraph">
              <wp:posOffset>295910</wp:posOffset>
            </wp:positionV>
            <wp:extent cx="5759450" cy="2578100"/>
            <wp:effectExtent l="0" t="0" r="0" b="0"/>
            <wp:wrapTight wrapText="bothSides">
              <wp:wrapPolygon edited="0">
                <wp:start x="0" y="0"/>
                <wp:lineTo x="0" y="21387"/>
                <wp:lineTo x="21505" y="21387"/>
                <wp:lineTo x="21505" y="0"/>
                <wp:lineTo x="0" y="0"/>
              </wp:wrapPolygon>
            </wp:wrapTight>
            <wp:docPr id="1006145948"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145948" name="Obrázek 1006145948"/>
                    <pic:cNvPicPr/>
                  </pic:nvPicPr>
                  <pic:blipFill>
                    <a:blip r:embed="rId12">
                      <a:extLst>
                        <a:ext uri="{28A0092B-C50C-407E-A947-70E740481C1C}">
                          <a14:useLocalDpi xmlns:a14="http://schemas.microsoft.com/office/drawing/2010/main" val="0"/>
                        </a:ext>
                      </a:extLst>
                    </a:blip>
                    <a:stretch>
                      <a:fillRect/>
                    </a:stretch>
                  </pic:blipFill>
                  <pic:spPr>
                    <a:xfrm>
                      <a:off x="0" y="0"/>
                      <a:ext cx="5759450" cy="2578100"/>
                    </a:xfrm>
                    <a:prstGeom prst="rect">
                      <a:avLst/>
                    </a:prstGeom>
                  </pic:spPr>
                </pic:pic>
              </a:graphicData>
            </a:graphic>
          </wp:anchor>
        </w:drawing>
      </w:r>
      <w:r>
        <w:rPr>
          <w:rFonts w:eastAsia="MS Mincho"/>
          <w:lang w:eastAsia="ja-JP"/>
        </w:rPr>
        <w:br w:type="page"/>
      </w:r>
    </w:p>
    <w:p w14:paraId="10CB3565" w14:textId="77777777" w:rsidR="000D7359" w:rsidRPr="00B32635" w:rsidRDefault="000D7359" w:rsidP="000D7359">
      <w:pPr>
        <w:pStyle w:val="F2-zkladn"/>
        <w:rPr>
          <w:sz w:val="18"/>
          <w:szCs w:val="18"/>
          <w:lang w:eastAsia="ja-JP"/>
        </w:rPr>
      </w:pPr>
      <w:r w:rsidRPr="00B32635">
        <w:rPr>
          <w:sz w:val="18"/>
          <w:szCs w:val="18"/>
          <w:lang w:eastAsia="ja-JP"/>
        </w:rPr>
        <w:lastRenderedPageBreak/>
        <w:t xml:space="preserve">Zdroj: </w:t>
      </w:r>
      <w:proofErr w:type="spellStart"/>
      <w:r w:rsidRPr="00B32635">
        <w:rPr>
          <w:sz w:val="18"/>
          <w:szCs w:val="18"/>
          <w:lang w:eastAsia="ja-JP"/>
        </w:rPr>
        <w:t>etfbook</w:t>
      </w:r>
      <w:proofErr w:type="spellEnd"/>
      <w:r w:rsidRPr="00B32635">
        <w:rPr>
          <w:sz w:val="18"/>
          <w:szCs w:val="18"/>
          <w:lang w:eastAsia="ja-JP"/>
        </w:rPr>
        <w:t>, k 31. srpnu 2026.</w:t>
      </w:r>
    </w:p>
    <w:p w14:paraId="5ECC23D4" w14:textId="0B971D52" w:rsidR="000D7359" w:rsidRPr="000D7359" w:rsidRDefault="000D7359" w:rsidP="000D7359">
      <w:pPr>
        <w:pStyle w:val="F2-zkladn"/>
        <w:rPr>
          <w:lang w:eastAsia="ja-JP"/>
        </w:rPr>
      </w:pPr>
      <w:r w:rsidRPr="000D7359">
        <w:rPr>
          <w:lang w:eastAsia="ja-JP"/>
        </w:rPr>
        <w:t>Tento růst doprovází prudký rozvoj nových produktů, které investorům umožňují naplňovat širší škálu investičních cílů. Aktivně řízená ETF zaměřená na konkrétní investiční výsledky mohou pomáhat omezovat tržní riziko, například tím, že poskytují ochranu před některými ztrátami nebo využívají deriváty ke zmírnění poklesů či dosažení dodatečných výnosů.</w:t>
      </w:r>
    </w:p>
    <w:p w14:paraId="58876870" w14:textId="76F6DAE0" w:rsidR="000D7359" w:rsidRPr="000D7359" w:rsidRDefault="000D7359" w:rsidP="000D7359">
      <w:pPr>
        <w:pStyle w:val="F2-zkladn"/>
        <w:rPr>
          <w:lang w:eastAsia="ja-JP"/>
        </w:rPr>
      </w:pPr>
      <w:r w:rsidRPr="000D7359">
        <w:rPr>
          <w:lang w:eastAsia="ja-JP"/>
        </w:rPr>
        <w:t>Dalším příkladem jsou aktivně řízená ETF s vysokou mírou přesvědčivosti o vybraných investicích (</w:t>
      </w:r>
      <w:proofErr w:type="spellStart"/>
      <w:r w:rsidRPr="000D7359">
        <w:rPr>
          <w:lang w:eastAsia="ja-JP"/>
        </w:rPr>
        <w:t>high-conviction</w:t>
      </w:r>
      <w:proofErr w:type="spellEnd"/>
      <w:r w:rsidRPr="000D7359">
        <w:rPr>
          <w:lang w:eastAsia="ja-JP"/>
        </w:rPr>
        <w:t>), jejichž prostřednictvím mohou investoři diverzifikovat portfolio a omezit závislost na trzích s vysokou koncentrací nebo na trzích, kde se ocenění aktiv jeví jako nadhodnocené.</w:t>
      </w:r>
    </w:p>
    <w:p w14:paraId="5DBE6428" w14:textId="3883C3D9" w:rsidR="000D7359" w:rsidRPr="000D7359" w:rsidRDefault="000D7359" w:rsidP="000D7359">
      <w:pPr>
        <w:pStyle w:val="F2-zkladn"/>
        <w:rPr>
          <w:lang w:eastAsia="ja-JP"/>
        </w:rPr>
      </w:pPr>
      <w:r w:rsidRPr="000D7359">
        <w:rPr>
          <w:lang w:eastAsia="ja-JP"/>
        </w:rPr>
        <w:t>Téměř čtvrtina (24 %) dotázaných investorů zvyšuje svou alokaci do diskrečně řízených aktivních ETF, která nesledují žádný referenční index (benchmark-</w:t>
      </w:r>
      <w:proofErr w:type="spellStart"/>
      <w:r w:rsidRPr="000D7359">
        <w:rPr>
          <w:lang w:eastAsia="ja-JP"/>
        </w:rPr>
        <w:t>agnostic</w:t>
      </w:r>
      <w:proofErr w:type="spellEnd"/>
      <w:r w:rsidRPr="000D7359">
        <w:rPr>
          <w:lang w:eastAsia="ja-JP"/>
        </w:rPr>
        <w:t xml:space="preserve">). Dalších 28 % navyšuje své pozice v aktivně řízených ETF, která se referenčního indexu drží těsněji, ale umožňují odchylku od jeho výkonnosti v rozmezí 2 až </w:t>
      </w:r>
      <w:proofErr w:type="gramStart"/>
      <w:r w:rsidRPr="000D7359">
        <w:rPr>
          <w:lang w:eastAsia="ja-JP"/>
        </w:rPr>
        <w:t>4 procentních</w:t>
      </w:r>
      <w:proofErr w:type="gramEnd"/>
      <w:r w:rsidRPr="000D7359">
        <w:rPr>
          <w:lang w:eastAsia="ja-JP"/>
        </w:rPr>
        <w:t xml:space="preserve"> bodů (</w:t>
      </w:r>
      <w:proofErr w:type="spellStart"/>
      <w:r w:rsidRPr="000D7359">
        <w:rPr>
          <w:lang w:eastAsia="ja-JP"/>
        </w:rPr>
        <w:t>tracking</w:t>
      </w:r>
      <w:proofErr w:type="spellEnd"/>
      <w:r w:rsidRPr="000D7359">
        <w:rPr>
          <w:lang w:eastAsia="ja-JP"/>
        </w:rPr>
        <w:t xml:space="preserve"> </w:t>
      </w:r>
      <w:proofErr w:type="spellStart"/>
      <w:r w:rsidRPr="000D7359">
        <w:rPr>
          <w:lang w:eastAsia="ja-JP"/>
        </w:rPr>
        <w:t>error</w:t>
      </w:r>
      <w:proofErr w:type="spellEnd"/>
      <w:r w:rsidRPr="000D7359">
        <w:rPr>
          <w:lang w:eastAsia="ja-JP"/>
        </w:rPr>
        <w:t>). To investorům dává prostor vyjádřit vlastní názor o vývoji jednotlivých titulů a aktivně reagovat.</w:t>
      </w:r>
    </w:p>
    <w:p w14:paraId="6C1539B5" w14:textId="0BF6361F" w:rsidR="000D7359" w:rsidRPr="000D7359" w:rsidRDefault="000D7359" w:rsidP="000D7359">
      <w:pPr>
        <w:pStyle w:val="F2-zkladn"/>
        <w:rPr>
          <w:lang w:eastAsia="ja-JP"/>
        </w:rPr>
      </w:pPr>
      <w:r>
        <w:rPr>
          <w:noProof/>
          <w:lang w:eastAsia="ja-JP"/>
        </w:rPr>
        <w:drawing>
          <wp:anchor distT="0" distB="0" distL="114300" distR="114300" simplePos="0" relativeHeight="251660288" behindDoc="1" locked="0" layoutInCell="1" allowOverlap="1" wp14:anchorId="64092324" wp14:editId="7F8706FE">
            <wp:simplePos x="0" y="0"/>
            <wp:positionH relativeFrom="margin">
              <wp:posOffset>-1270</wp:posOffset>
            </wp:positionH>
            <wp:positionV relativeFrom="paragraph">
              <wp:posOffset>617220</wp:posOffset>
            </wp:positionV>
            <wp:extent cx="5759450" cy="2907030"/>
            <wp:effectExtent l="0" t="0" r="0" b="7620"/>
            <wp:wrapTight wrapText="bothSides">
              <wp:wrapPolygon edited="0">
                <wp:start x="0" y="0"/>
                <wp:lineTo x="0" y="21515"/>
                <wp:lineTo x="21505" y="21515"/>
                <wp:lineTo x="21505" y="0"/>
                <wp:lineTo x="0" y="0"/>
              </wp:wrapPolygon>
            </wp:wrapTight>
            <wp:docPr id="110640970"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40970" name="Obrázek 110640970"/>
                    <pic:cNvPicPr/>
                  </pic:nvPicPr>
                  <pic:blipFill>
                    <a:blip r:embed="rId13">
                      <a:extLst>
                        <a:ext uri="{28A0092B-C50C-407E-A947-70E740481C1C}">
                          <a14:useLocalDpi xmlns:a14="http://schemas.microsoft.com/office/drawing/2010/main" val="0"/>
                        </a:ext>
                      </a:extLst>
                    </a:blip>
                    <a:stretch>
                      <a:fillRect/>
                    </a:stretch>
                  </pic:blipFill>
                  <pic:spPr>
                    <a:xfrm>
                      <a:off x="0" y="0"/>
                      <a:ext cx="5759450" cy="2907030"/>
                    </a:xfrm>
                    <a:prstGeom prst="rect">
                      <a:avLst/>
                    </a:prstGeom>
                  </pic:spPr>
                </pic:pic>
              </a:graphicData>
            </a:graphic>
          </wp:anchor>
        </w:drawing>
      </w:r>
      <w:r w:rsidRPr="000D7359">
        <w:rPr>
          <w:b/>
          <w:bCs/>
          <w:lang w:eastAsia="ja-JP"/>
        </w:rPr>
        <w:t>Graf 3: Budoucnost aktivně řízených ETF</w:t>
      </w:r>
    </w:p>
    <w:p w14:paraId="470D1593" w14:textId="77777777" w:rsidR="000D7359" w:rsidRPr="00B32635" w:rsidRDefault="000D7359" w:rsidP="000D7359">
      <w:pPr>
        <w:pStyle w:val="F2-zkladn"/>
        <w:rPr>
          <w:sz w:val="18"/>
          <w:szCs w:val="18"/>
          <w:lang w:eastAsia="ja-JP"/>
        </w:rPr>
      </w:pPr>
      <w:r w:rsidRPr="00B32635">
        <w:rPr>
          <w:sz w:val="18"/>
          <w:szCs w:val="18"/>
          <w:lang w:eastAsia="ja-JP"/>
        </w:rPr>
        <w:t xml:space="preserve">Zdroj: </w:t>
      </w:r>
      <w:proofErr w:type="spellStart"/>
      <w:r w:rsidRPr="00B32635">
        <w:rPr>
          <w:sz w:val="18"/>
          <w:szCs w:val="18"/>
          <w:lang w:eastAsia="ja-JP"/>
        </w:rPr>
        <w:t>Fidelity</w:t>
      </w:r>
      <w:proofErr w:type="spellEnd"/>
      <w:r w:rsidRPr="00B32635">
        <w:rPr>
          <w:sz w:val="18"/>
          <w:szCs w:val="18"/>
          <w:lang w:eastAsia="ja-JP"/>
        </w:rPr>
        <w:t xml:space="preserve"> International, </w:t>
      </w:r>
      <w:proofErr w:type="spellStart"/>
      <w:r w:rsidRPr="00B32635">
        <w:rPr>
          <w:sz w:val="18"/>
          <w:szCs w:val="18"/>
          <w:lang w:eastAsia="ja-JP"/>
        </w:rPr>
        <w:t>CoreData</w:t>
      </w:r>
      <w:proofErr w:type="spellEnd"/>
      <w:r w:rsidRPr="00B32635">
        <w:rPr>
          <w:sz w:val="18"/>
          <w:szCs w:val="18"/>
          <w:lang w:eastAsia="ja-JP"/>
        </w:rPr>
        <w:t xml:space="preserve"> </w:t>
      </w:r>
      <w:proofErr w:type="spellStart"/>
      <w:r w:rsidRPr="00B32635">
        <w:rPr>
          <w:sz w:val="18"/>
          <w:szCs w:val="18"/>
          <w:lang w:eastAsia="ja-JP"/>
        </w:rPr>
        <w:t>Research</w:t>
      </w:r>
      <w:proofErr w:type="spellEnd"/>
      <w:r w:rsidRPr="00B32635">
        <w:rPr>
          <w:sz w:val="18"/>
          <w:szCs w:val="18"/>
          <w:lang w:eastAsia="ja-JP"/>
        </w:rPr>
        <w:t xml:space="preserve">, říjen 2026. Otázky: „Kterému typu ETF plánujete v příštích 12 měsících dát největší prostor ve svých portfoliích?“, „Který typ aktivně řízených ETF byste uvítali ve větší míře?“ a „Které z následujících tvrzení o budoucnosti jednotlivých typů aktivně řízených ETF nejlépe vystihuje váš názor na jejich roli v příštích pěti letech?“ Aktivně řízená ETF se zvýšenou výkonností při zachování blízkosti benchmarku jsou definována jako ETF, jejichž cílem je odchýlit se od výkonnosti benchmarku o 1 až </w:t>
      </w:r>
      <w:proofErr w:type="gramStart"/>
      <w:r w:rsidRPr="00B32635">
        <w:rPr>
          <w:sz w:val="18"/>
          <w:szCs w:val="18"/>
          <w:lang w:eastAsia="ja-JP"/>
        </w:rPr>
        <w:t>2 procentní</w:t>
      </w:r>
      <w:proofErr w:type="gramEnd"/>
      <w:r w:rsidRPr="00B32635">
        <w:rPr>
          <w:sz w:val="18"/>
          <w:szCs w:val="18"/>
          <w:lang w:eastAsia="ja-JP"/>
        </w:rPr>
        <w:t xml:space="preserve"> body. Aktivně řízená ETF s vysokou mírou přesvědčení o investičních pozicích při zachování blízkosti benchmarku jsou definována jako ETF, jejichž cílem je odchýlit se od výkonnosti benchmarku o 3 až </w:t>
      </w:r>
      <w:proofErr w:type="gramStart"/>
      <w:r w:rsidRPr="00B32635">
        <w:rPr>
          <w:sz w:val="18"/>
          <w:szCs w:val="18"/>
          <w:lang w:eastAsia="ja-JP"/>
        </w:rPr>
        <w:t>4 procentní</w:t>
      </w:r>
      <w:proofErr w:type="gramEnd"/>
      <w:r w:rsidRPr="00B32635">
        <w:rPr>
          <w:sz w:val="18"/>
          <w:szCs w:val="18"/>
          <w:lang w:eastAsia="ja-JP"/>
        </w:rPr>
        <w:t xml:space="preserve"> body.</w:t>
      </w:r>
    </w:p>
    <w:p w14:paraId="5C018E3A" w14:textId="77777777" w:rsidR="000D7359" w:rsidRPr="000D7359" w:rsidRDefault="000D7359" w:rsidP="000D7359">
      <w:pPr>
        <w:pStyle w:val="F2-zkladn"/>
        <w:rPr>
          <w:lang w:eastAsia="ja-JP"/>
        </w:rPr>
      </w:pPr>
      <w:r w:rsidRPr="000D7359">
        <w:rPr>
          <w:lang w:eastAsia="ja-JP"/>
        </w:rPr>
        <w:t xml:space="preserve">Značná je i poptávka po dalších nových produktech. Polovina respondentů by uvítala větší nabídku aktivně řízených ETF s vysokou mírou přesvědčení, která se orientují podle referenčního indexu, ale </w:t>
      </w:r>
      <w:r w:rsidRPr="000D7359">
        <w:rPr>
          <w:lang w:eastAsia="ja-JP"/>
        </w:rPr>
        <w:lastRenderedPageBreak/>
        <w:t>umožňují odchylky od něj. Čtvrtina respondentů by uvítala totéž u aktivně řízených ETF, která žádný referenční index nesledují.</w:t>
      </w:r>
    </w:p>
    <w:p w14:paraId="42BA4181" w14:textId="7BA4C356" w:rsidR="000D7359" w:rsidRPr="000D7359" w:rsidRDefault="000D7359" w:rsidP="000D7359">
      <w:pPr>
        <w:pStyle w:val="F2-zkladn"/>
        <w:rPr>
          <w:lang w:eastAsia="ja-JP"/>
        </w:rPr>
      </w:pPr>
      <w:r w:rsidRPr="000D7359">
        <w:rPr>
          <w:lang w:eastAsia="ja-JP"/>
        </w:rPr>
        <w:t xml:space="preserve">ETF se tak postupně přestávají využívat převážně jako nástroj pro taktickou expozici vůči určitému trhu. Stále zřetelněji se prosazuje trend, kdy investoři využívají ETF jako zdroj </w:t>
      </w:r>
      <w:proofErr w:type="spellStart"/>
      <w:r w:rsidRPr="000D7359">
        <w:rPr>
          <w:lang w:eastAsia="ja-JP"/>
        </w:rPr>
        <w:t>nadvýnosů</w:t>
      </w:r>
      <w:proofErr w:type="spellEnd"/>
      <w:r w:rsidRPr="000D7359">
        <w:rPr>
          <w:lang w:eastAsia="ja-JP"/>
        </w:rPr>
        <w:t xml:space="preserve"> (alfa) k dosažení konkrétních cílů při správě portfolia – ať už jde o ochranu před poklesy, diverzifikaci, nebo využití růstového potenciálu trhu.</w:t>
      </w:r>
    </w:p>
    <w:p w14:paraId="7E6FC40E" w14:textId="740F63B8" w:rsidR="000D7359" w:rsidRPr="000D7359" w:rsidRDefault="000D7359" w:rsidP="000D7359">
      <w:pPr>
        <w:pStyle w:val="F2-zkladn"/>
        <w:rPr>
          <w:lang w:eastAsia="ja-JP"/>
        </w:rPr>
      </w:pPr>
      <w:r w:rsidRPr="000D7359">
        <w:rPr>
          <w:lang w:eastAsia="ja-JP"/>
        </w:rPr>
        <w:t>Aby však ETF tuto roli úspěšně plnily, nestačí pouze nabídnout expozici vůči určité části trhu. Čím více se totiž aktivně řízené ETF snaží odlišit od referenčního indexu, tím důležitější je správný výběr jednotlivých cenných papírů.</w:t>
      </w:r>
    </w:p>
    <w:p w14:paraId="71403966" w14:textId="7895C1A4" w:rsidR="000D7359" w:rsidRPr="000D7359" w:rsidRDefault="000D7359" w:rsidP="000D7359">
      <w:pPr>
        <w:pStyle w:val="F2-zkladn"/>
        <w:rPr>
          <w:b/>
          <w:bCs/>
          <w:lang w:eastAsia="ja-JP"/>
        </w:rPr>
      </w:pPr>
      <w:r w:rsidRPr="000D7359">
        <w:rPr>
          <w:b/>
          <w:bCs/>
          <w:lang w:eastAsia="ja-JP"/>
        </w:rPr>
        <w:t xml:space="preserve">Signály pro dosažení </w:t>
      </w:r>
      <w:proofErr w:type="spellStart"/>
      <w:r w:rsidRPr="000D7359">
        <w:rPr>
          <w:b/>
          <w:bCs/>
          <w:lang w:eastAsia="ja-JP"/>
        </w:rPr>
        <w:t>nadvýnosů</w:t>
      </w:r>
      <w:proofErr w:type="spellEnd"/>
      <w:r w:rsidRPr="000D7359">
        <w:rPr>
          <w:b/>
          <w:bCs/>
          <w:lang w:eastAsia="ja-JP"/>
        </w:rPr>
        <w:t xml:space="preserve"> musí vycházet z výhledu do budoucna</w:t>
      </w:r>
    </w:p>
    <w:p w14:paraId="47E6E6F4" w14:textId="77C2E36F" w:rsidR="000D7359" w:rsidRPr="000D7359" w:rsidRDefault="000D7359" w:rsidP="000D7359">
      <w:pPr>
        <w:pStyle w:val="F2-zkladn"/>
        <w:rPr>
          <w:lang w:eastAsia="ja-JP"/>
        </w:rPr>
      </w:pPr>
      <w:r w:rsidRPr="000D7359">
        <w:rPr>
          <w:lang w:eastAsia="ja-JP"/>
        </w:rPr>
        <w:t xml:space="preserve">Není proto překvapivé, že investoři považují potenciál dosahovat </w:t>
      </w:r>
      <w:proofErr w:type="spellStart"/>
      <w:r w:rsidRPr="000D7359">
        <w:rPr>
          <w:lang w:eastAsia="ja-JP"/>
        </w:rPr>
        <w:t>nadvýnosů</w:t>
      </w:r>
      <w:proofErr w:type="spellEnd"/>
      <w:r w:rsidRPr="000D7359">
        <w:rPr>
          <w:lang w:eastAsia="ja-JP"/>
        </w:rPr>
        <w:t xml:space="preserve"> oproti trhu za vůbec nejdůležitější investiční výsledek, který od aktivně řízených ETF očekávají.</w:t>
      </w:r>
    </w:p>
    <w:p w14:paraId="003703DF" w14:textId="78406398" w:rsidR="000D7359" w:rsidRPr="000D7359" w:rsidRDefault="000D7359" w:rsidP="000D7359">
      <w:pPr>
        <w:pStyle w:val="F2-zkladn"/>
        <w:rPr>
          <w:lang w:eastAsia="ja-JP"/>
        </w:rPr>
      </w:pPr>
      <w:r>
        <w:rPr>
          <w:noProof/>
          <w:lang w:eastAsia="ja-JP"/>
        </w:rPr>
        <w:drawing>
          <wp:anchor distT="0" distB="0" distL="114300" distR="114300" simplePos="0" relativeHeight="251661312" behindDoc="1" locked="0" layoutInCell="1" allowOverlap="1" wp14:anchorId="5EFF4976" wp14:editId="5939A89E">
            <wp:simplePos x="0" y="0"/>
            <wp:positionH relativeFrom="margin">
              <wp:posOffset>-1270</wp:posOffset>
            </wp:positionH>
            <wp:positionV relativeFrom="paragraph">
              <wp:posOffset>533400</wp:posOffset>
            </wp:positionV>
            <wp:extent cx="5759450" cy="2425065"/>
            <wp:effectExtent l="0" t="0" r="0" b="0"/>
            <wp:wrapTight wrapText="bothSides">
              <wp:wrapPolygon edited="0">
                <wp:start x="0" y="0"/>
                <wp:lineTo x="0" y="21379"/>
                <wp:lineTo x="21505" y="21379"/>
                <wp:lineTo x="21505" y="0"/>
                <wp:lineTo x="0" y="0"/>
              </wp:wrapPolygon>
            </wp:wrapTight>
            <wp:docPr id="2008227022"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227022" name="Obrázek 2008227022"/>
                    <pic:cNvPicPr/>
                  </pic:nvPicPr>
                  <pic:blipFill>
                    <a:blip r:embed="rId14">
                      <a:extLst>
                        <a:ext uri="{28A0092B-C50C-407E-A947-70E740481C1C}">
                          <a14:useLocalDpi xmlns:a14="http://schemas.microsoft.com/office/drawing/2010/main" val="0"/>
                        </a:ext>
                      </a:extLst>
                    </a:blip>
                    <a:stretch>
                      <a:fillRect/>
                    </a:stretch>
                  </pic:blipFill>
                  <pic:spPr>
                    <a:xfrm>
                      <a:off x="0" y="0"/>
                      <a:ext cx="5759450" cy="2425065"/>
                    </a:xfrm>
                    <a:prstGeom prst="rect">
                      <a:avLst/>
                    </a:prstGeom>
                  </pic:spPr>
                </pic:pic>
              </a:graphicData>
            </a:graphic>
          </wp:anchor>
        </w:drawing>
      </w:r>
      <w:r w:rsidRPr="000D7359">
        <w:rPr>
          <w:b/>
          <w:bCs/>
          <w:lang w:eastAsia="ja-JP"/>
        </w:rPr>
        <w:t>Graf 4: Co investoři očekávají od aktivně řízených ETF</w:t>
      </w:r>
    </w:p>
    <w:p w14:paraId="3DAE6525" w14:textId="29F006C4" w:rsidR="000D7359" w:rsidRPr="000D7359" w:rsidRDefault="000D7359" w:rsidP="000D7359">
      <w:pPr>
        <w:pStyle w:val="F2-zkladn"/>
        <w:rPr>
          <w:lang w:eastAsia="ja-JP"/>
        </w:rPr>
      </w:pPr>
    </w:p>
    <w:p w14:paraId="0DB993B4" w14:textId="77777777" w:rsidR="000D7359" w:rsidRPr="00B32635" w:rsidRDefault="000D7359" w:rsidP="000D7359">
      <w:pPr>
        <w:rPr>
          <w:rFonts w:eastAsia="MS Mincho"/>
          <w:sz w:val="18"/>
          <w:szCs w:val="18"/>
          <w:lang w:eastAsia="ja-JP"/>
        </w:rPr>
      </w:pPr>
      <w:r w:rsidRPr="00B32635">
        <w:rPr>
          <w:rFonts w:eastAsia="MS Mincho"/>
          <w:sz w:val="18"/>
          <w:szCs w:val="18"/>
          <w:lang w:eastAsia="ja-JP"/>
        </w:rPr>
        <w:t xml:space="preserve">Zdroj: </w:t>
      </w:r>
      <w:proofErr w:type="spellStart"/>
      <w:r w:rsidRPr="00B32635">
        <w:rPr>
          <w:rFonts w:eastAsia="MS Mincho"/>
          <w:sz w:val="18"/>
          <w:szCs w:val="18"/>
          <w:lang w:eastAsia="ja-JP"/>
        </w:rPr>
        <w:t>Fidelity</w:t>
      </w:r>
      <w:proofErr w:type="spellEnd"/>
      <w:r w:rsidRPr="00B32635">
        <w:rPr>
          <w:rFonts w:eastAsia="MS Mincho"/>
          <w:sz w:val="18"/>
          <w:szCs w:val="18"/>
          <w:lang w:eastAsia="ja-JP"/>
        </w:rPr>
        <w:t xml:space="preserve"> International, </w:t>
      </w:r>
      <w:proofErr w:type="spellStart"/>
      <w:r w:rsidRPr="00B32635">
        <w:rPr>
          <w:rFonts w:eastAsia="MS Mincho"/>
          <w:sz w:val="18"/>
          <w:szCs w:val="18"/>
          <w:lang w:eastAsia="ja-JP"/>
        </w:rPr>
        <w:t>CoreData</w:t>
      </w:r>
      <w:proofErr w:type="spellEnd"/>
      <w:r w:rsidRPr="00B32635">
        <w:rPr>
          <w:rFonts w:eastAsia="MS Mincho"/>
          <w:sz w:val="18"/>
          <w:szCs w:val="18"/>
          <w:lang w:eastAsia="ja-JP"/>
        </w:rPr>
        <w:t xml:space="preserve"> </w:t>
      </w:r>
      <w:proofErr w:type="spellStart"/>
      <w:r w:rsidRPr="00B32635">
        <w:rPr>
          <w:rFonts w:eastAsia="MS Mincho"/>
          <w:sz w:val="18"/>
          <w:szCs w:val="18"/>
          <w:lang w:eastAsia="ja-JP"/>
        </w:rPr>
        <w:t>Research</w:t>
      </w:r>
      <w:proofErr w:type="spellEnd"/>
      <w:r w:rsidRPr="00B32635">
        <w:rPr>
          <w:rFonts w:eastAsia="MS Mincho"/>
          <w:sz w:val="18"/>
          <w:szCs w:val="18"/>
          <w:lang w:eastAsia="ja-JP"/>
        </w:rPr>
        <w:t>, říjen 2026. Otázka: „Jak důležité jsou pro vás při využívání aktivně řízených ETF následující vlastnosti?“ Graf znázorňuje procentní podíl respondentů, kteří považují jednotlivé investiční cíle za důležité nebo velmi důležité.</w:t>
      </w:r>
    </w:p>
    <w:p w14:paraId="2364082E" w14:textId="77777777" w:rsidR="000D7359" w:rsidRPr="000D7359" w:rsidRDefault="000D7359" w:rsidP="000D7359">
      <w:pPr>
        <w:rPr>
          <w:rFonts w:eastAsia="MS Mincho"/>
          <w:lang w:eastAsia="ja-JP"/>
        </w:rPr>
      </w:pPr>
      <w:r w:rsidRPr="000D7359">
        <w:rPr>
          <w:rFonts w:eastAsia="MS Mincho"/>
          <w:lang w:eastAsia="ja-JP"/>
        </w:rPr>
        <w:t xml:space="preserve">Toto zjištění vystihuje novou éru ETF. Investoři tradičně vybírali pasivní ETF především podle nákladů, likvidity a přesnosti, s jakou sledují referenční index (čím menší odchylka od výkonnosti indexu, tím lépe). Náš průzkum ukazuje, že náklady a likvidita zůstávají důležitými kritérii i při výběru aktivně řízených ETF. Snaha dosahovat </w:t>
      </w:r>
      <w:proofErr w:type="spellStart"/>
      <w:r w:rsidRPr="000D7359">
        <w:rPr>
          <w:rFonts w:eastAsia="MS Mincho"/>
          <w:lang w:eastAsia="ja-JP"/>
        </w:rPr>
        <w:t>nadvýnosů</w:t>
      </w:r>
      <w:proofErr w:type="spellEnd"/>
      <w:r w:rsidRPr="000D7359">
        <w:rPr>
          <w:rFonts w:eastAsia="MS Mincho"/>
          <w:lang w:eastAsia="ja-JP"/>
        </w:rPr>
        <w:t xml:space="preserve"> však vyžaduje odlišný přístup k dosahování investičních cílů.</w:t>
      </w:r>
    </w:p>
    <w:p w14:paraId="4F9A917F" w14:textId="77777777" w:rsidR="000D7359" w:rsidRPr="000D7359" w:rsidRDefault="000D7359" w:rsidP="000D7359">
      <w:pPr>
        <w:rPr>
          <w:rFonts w:eastAsia="MS Mincho"/>
          <w:lang w:eastAsia="ja-JP"/>
        </w:rPr>
      </w:pPr>
      <w:r w:rsidRPr="000D7359">
        <w:rPr>
          <w:rFonts w:eastAsia="MS Mincho"/>
          <w:lang w:eastAsia="ja-JP"/>
        </w:rPr>
        <w:t xml:space="preserve">Nejjasnějším důvodem je skutečnost, že nákupem indexu nelze dosáhnout </w:t>
      </w:r>
      <w:proofErr w:type="spellStart"/>
      <w:r w:rsidRPr="000D7359">
        <w:rPr>
          <w:rFonts w:eastAsia="MS Mincho"/>
          <w:lang w:eastAsia="ja-JP"/>
        </w:rPr>
        <w:t>nadvýnosu</w:t>
      </w:r>
      <w:proofErr w:type="spellEnd"/>
      <w:r w:rsidRPr="000D7359">
        <w:rPr>
          <w:rFonts w:eastAsia="MS Mincho"/>
          <w:lang w:eastAsia="ja-JP"/>
        </w:rPr>
        <w:t xml:space="preserve"> oproti tomuto indexu. Ještě důležitější však je, že pasivní sledování indexu může vést k dalšímu posílení právě těch rizik, která se investoři snaží uřídit, například geopolitické nejistoty a nadměrné koncentrace trhu. Chybí </w:t>
      </w:r>
      <w:r w:rsidRPr="000D7359">
        <w:rPr>
          <w:rFonts w:eastAsia="MS Mincho"/>
          <w:lang w:eastAsia="ja-JP"/>
        </w:rPr>
        <w:lastRenderedPageBreak/>
        <w:t>zde výhledový přístup k řešení investičních výzev, který vychází z hluboké znalosti aktuálního dění ve firmách i v širších odvětvích a ekonomikách, jež ovlivňují jejich výsledky.</w:t>
      </w:r>
    </w:p>
    <w:p w14:paraId="77CC853B" w14:textId="77777777" w:rsidR="000D7359" w:rsidRPr="000D7359" w:rsidRDefault="000D7359" w:rsidP="000D7359">
      <w:pPr>
        <w:rPr>
          <w:rFonts w:eastAsia="MS Mincho"/>
          <w:lang w:eastAsia="ja-JP"/>
        </w:rPr>
      </w:pPr>
      <w:r w:rsidRPr="000D7359">
        <w:rPr>
          <w:rFonts w:eastAsia="MS Mincho"/>
          <w:lang w:eastAsia="ja-JP"/>
        </w:rPr>
        <w:t xml:space="preserve">Aktivně řízená ETF společnosti </w:t>
      </w:r>
      <w:proofErr w:type="spellStart"/>
      <w:r w:rsidRPr="000D7359">
        <w:rPr>
          <w:rFonts w:eastAsia="MS Mincho"/>
          <w:lang w:eastAsia="ja-JP"/>
        </w:rPr>
        <w:t>Fidelity</w:t>
      </w:r>
      <w:proofErr w:type="spellEnd"/>
      <w:r w:rsidRPr="000D7359">
        <w:rPr>
          <w:rFonts w:eastAsia="MS Mincho"/>
          <w:lang w:eastAsia="ja-JP"/>
        </w:rPr>
        <w:t xml:space="preserve"> vycházejí z poznatků globálního analytického týmu. Cílem je zlepšovat výkonnost ETF prostřednictvím výhledových signálů pro dosažení </w:t>
      </w:r>
      <w:proofErr w:type="spellStart"/>
      <w:r w:rsidRPr="000D7359">
        <w:rPr>
          <w:rFonts w:eastAsia="MS Mincho"/>
          <w:lang w:eastAsia="ja-JP"/>
        </w:rPr>
        <w:t>nadvýnosů</w:t>
      </w:r>
      <w:proofErr w:type="spellEnd"/>
      <w:r w:rsidRPr="000D7359">
        <w:rPr>
          <w:rFonts w:eastAsia="MS Mincho"/>
          <w:lang w:eastAsia="ja-JP"/>
        </w:rPr>
        <w:t xml:space="preserve"> (alfa), které vycházejí z analýzy jednotlivých společností a cenných papírů (</w:t>
      </w:r>
      <w:proofErr w:type="spellStart"/>
      <w:r w:rsidRPr="000D7359">
        <w:rPr>
          <w:rFonts w:eastAsia="MS Mincho"/>
          <w:lang w:eastAsia="ja-JP"/>
        </w:rPr>
        <w:t>bottom</w:t>
      </w:r>
      <w:proofErr w:type="spellEnd"/>
      <w:r w:rsidRPr="000D7359">
        <w:rPr>
          <w:rFonts w:eastAsia="MS Mincho"/>
          <w:lang w:eastAsia="ja-JP"/>
        </w:rPr>
        <w:t xml:space="preserve">-up přístup). Analytici </w:t>
      </w:r>
      <w:proofErr w:type="spellStart"/>
      <w:r w:rsidRPr="000D7359">
        <w:rPr>
          <w:rFonts w:eastAsia="MS Mincho"/>
          <w:lang w:eastAsia="ja-JP"/>
        </w:rPr>
        <w:t>Fidelity</w:t>
      </w:r>
      <w:proofErr w:type="spellEnd"/>
      <w:r w:rsidRPr="000D7359">
        <w:rPr>
          <w:rFonts w:eastAsia="MS Mincho"/>
          <w:lang w:eastAsia="ja-JP"/>
        </w:rPr>
        <w:t xml:space="preserve"> se setkávají nejen s vedením sledovaných společností, ale také s jejich konkurenty, dodavateli, zákazníky a dalšími účastníky trhu. Mohou tak ověřovat tvrzení vedení firem na základě informací získaných z dalších zdrojů a vytvářet si podrobný obraz o skutečném dění.</w:t>
      </w:r>
    </w:p>
    <w:p w14:paraId="7C202F4D" w14:textId="77777777" w:rsidR="000D7359" w:rsidRPr="000D7359" w:rsidRDefault="000D7359" w:rsidP="000D7359">
      <w:pPr>
        <w:rPr>
          <w:rFonts w:eastAsia="MS Mincho"/>
          <w:lang w:eastAsia="ja-JP"/>
        </w:rPr>
      </w:pPr>
      <w:r w:rsidRPr="000D7359">
        <w:rPr>
          <w:rFonts w:eastAsia="MS Mincho"/>
          <w:lang w:eastAsia="ja-JP"/>
        </w:rPr>
        <w:t xml:space="preserve">Analytikům to následně umožňuje dívat se nad rámec titulků v médiích, na které mohou indexy reagovat přehnaně. Příkladem je takzvaná „apokalypsa </w:t>
      </w:r>
      <w:proofErr w:type="spellStart"/>
      <w:r w:rsidRPr="000D7359">
        <w:rPr>
          <w:rFonts w:eastAsia="MS Mincho"/>
          <w:lang w:eastAsia="ja-JP"/>
        </w:rPr>
        <w:t>SaaS</w:t>
      </w:r>
      <w:proofErr w:type="spellEnd"/>
      <w:r w:rsidRPr="000D7359">
        <w:rPr>
          <w:rFonts w:eastAsia="MS Mincho"/>
          <w:lang w:eastAsia="ja-JP"/>
        </w:rPr>
        <w:t xml:space="preserve">“ z počátku roku 2026, kdy akcie společností poskytujících software (Software as a </w:t>
      </w:r>
      <w:proofErr w:type="spellStart"/>
      <w:r w:rsidRPr="000D7359">
        <w:rPr>
          <w:rFonts w:eastAsia="MS Mincho"/>
          <w:lang w:eastAsia="ja-JP"/>
        </w:rPr>
        <w:t>Service</w:t>
      </w:r>
      <w:proofErr w:type="spellEnd"/>
      <w:r w:rsidRPr="000D7359">
        <w:rPr>
          <w:rFonts w:eastAsia="MS Mincho"/>
          <w:lang w:eastAsia="ja-JP"/>
        </w:rPr>
        <w:t xml:space="preserve">, </w:t>
      </w:r>
      <w:proofErr w:type="spellStart"/>
      <w:r w:rsidRPr="000D7359">
        <w:rPr>
          <w:rFonts w:eastAsia="MS Mincho"/>
          <w:lang w:eastAsia="ja-JP"/>
        </w:rPr>
        <w:t>SaaS</w:t>
      </w:r>
      <w:proofErr w:type="spellEnd"/>
      <w:r w:rsidRPr="000D7359">
        <w:rPr>
          <w:rFonts w:eastAsia="MS Mincho"/>
          <w:lang w:eastAsia="ja-JP"/>
        </w:rPr>
        <w:t>) prudce klesaly kvůli obavám, že jejich produkty nahradí agenti umělé inteligence (</w:t>
      </w:r>
      <w:proofErr w:type="spellStart"/>
      <w:r w:rsidRPr="000D7359">
        <w:rPr>
          <w:rFonts w:eastAsia="MS Mincho"/>
          <w:lang w:eastAsia="ja-JP"/>
        </w:rPr>
        <w:t>agentic</w:t>
      </w:r>
      <w:proofErr w:type="spellEnd"/>
      <w:r w:rsidRPr="000D7359">
        <w:rPr>
          <w:rFonts w:eastAsia="MS Mincho"/>
          <w:lang w:eastAsia="ja-JP"/>
        </w:rPr>
        <w:t xml:space="preserve"> AI). Analytici výzkumného týmu </w:t>
      </w:r>
      <w:proofErr w:type="spellStart"/>
      <w:r w:rsidRPr="000D7359">
        <w:rPr>
          <w:rFonts w:eastAsia="MS Mincho"/>
          <w:lang w:eastAsia="ja-JP"/>
        </w:rPr>
        <w:t>Fidelity</w:t>
      </w:r>
      <w:proofErr w:type="spellEnd"/>
      <w:r w:rsidRPr="000D7359">
        <w:rPr>
          <w:rFonts w:eastAsia="MS Mincho"/>
          <w:lang w:eastAsia="ja-JP"/>
        </w:rPr>
        <w:t xml:space="preserve"> tehdy zastávali jasný názor, že výprodej zašel příliš daleko.</w:t>
      </w:r>
      <w:r w:rsidRPr="000D7359">
        <w:rPr>
          <w:rFonts w:eastAsia="MS Mincho"/>
          <w:vertAlign w:val="superscript"/>
          <w:lang w:eastAsia="ja-JP"/>
        </w:rPr>
        <w:t>1</w:t>
      </w:r>
      <w:r w:rsidRPr="000D7359">
        <w:rPr>
          <w:rFonts w:eastAsia="MS Mincho"/>
          <w:lang w:eastAsia="ja-JP"/>
        </w:rPr>
        <w:t xml:space="preserve"> Poukazovali přitom na přetrvávající konkurenční výhody zavedených společností. V následujících měsících se zdálo, že tento pohled začíná sdílet i širší trh.</w:t>
      </w:r>
    </w:p>
    <w:p w14:paraId="3E624E64" w14:textId="77777777" w:rsidR="000D7359" w:rsidRDefault="000D7359" w:rsidP="000D7359">
      <w:pPr>
        <w:rPr>
          <w:rFonts w:eastAsia="MS Mincho"/>
          <w:lang w:eastAsia="ja-JP"/>
        </w:rPr>
      </w:pPr>
      <w:r w:rsidRPr="000D7359">
        <w:rPr>
          <w:rFonts w:eastAsia="MS Mincho"/>
          <w:lang w:eastAsia="ja-JP"/>
        </w:rPr>
        <w:t>Názory analytiků se samozřejmě průběžně vyvíjejí v reakci na měnící se svět. Právě v tom spočívá hodnota využívání jejich poznatků při utváření investiční výkonnosti. (Jako vždy platí, že minulá výkonnost není spolehlivým ukazatelem budoucích výsledků.)</w:t>
      </w:r>
    </w:p>
    <w:p w14:paraId="79C39B60" w14:textId="5C662A5E" w:rsidR="000D7359" w:rsidRDefault="000D7359" w:rsidP="000D7359">
      <w:pPr>
        <w:rPr>
          <w:rFonts w:eastAsia="MS Mincho"/>
          <w:lang w:eastAsia="ja-JP"/>
        </w:rPr>
      </w:pPr>
      <w:r w:rsidRPr="000D7359">
        <w:rPr>
          <w:rFonts w:eastAsia="MS Mincho"/>
          <w:lang w:eastAsia="ja-JP"/>
        </w:rPr>
        <w:t>Modrá křivka v grafu 5 znázorňuje kumulativní výnosy založené na nákupních signálech (</w:t>
      </w:r>
      <w:proofErr w:type="spellStart"/>
      <w:r w:rsidRPr="000D7359">
        <w:rPr>
          <w:rFonts w:eastAsia="MS Mincho"/>
          <w:lang w:eastAsia="ja-JP"/>
        </w:rPr>
        <w:t>buy</w:t>
      </w:r>
      <w:proofErr w:type="spellEnd"/>
      <w:r w:rsidRPr="000D7359">
        <w:rPr>
          <w:rFonts w:eastAsia="MS Mincho"/>
          <w:lang w:eastAsia="ja-JP"/>
        </w:rPr>
        <w:t>) našich analytiků v průběhu let. Oranžová křivka zachycuje totéž na základě jejich prodejních signálů (</w:t>
      </w:r>
      <w:proofErr w:type="spellStart"/>
      <w:r w:rsidRPr="000D7359">
        <w:rPr>
          <w:rFonts w:eastAsia="MS Mincho"/>
          <w:lang w:eastAsia="ja-JP"/>
        </w:rPr>
        <w:t>sell</w:t>
      </w:r>
      <w:proofErr w:type="spellEnd"/>
      <w:r w:rsidRPr="000D7359">
        <w:rPr>
          <w:rFonts w:eastAsia="MS Mincho"/>
          <w:lang w:eastAsia="ja-JP"/>
        </w:rPr>
        <w:t>). ETF lze konstruovat tak, aby systematicky vybíraly cenné papíry na základě těchto signálů, a zároveň zachovávaly lidský pohled, který umožňuje portfolio manažerovi uplatňovat investiční strategii v širokém spektru investičních příležitostí.</w:t>
      </w:r>
    </w:p>
    <w:p w14:paraId="45240C42" w14:textId="7B144AB3" w:rsidR="000D7359" w:rsidRDefault="000D7359" w:rsidP="000D7359">
      <w:pPr>
        <w:pStyle w:val="F2-zkladn"/>
        <w:rPr>
          <w:b/>
          <w:bCs/>
          <w:lang w:eastAsia="ja-JP"/>
        </w:rPr>
      </w:pPr>
      <w:r w:rsidRPr="000D7359">
        <w:rPr>
          <w:b/>
          <w:bCs/>
          <w:lang w:eastAsia="ja-JP"/>
        </w:rPr>
        <w:t xml:space="preserve">Graf 5: Aktivně řízená ETF společnosti </w:t>
      </w:r>
      <w:proofErr w:type="spellStart"/>
      <w:r w:rsidRPr="000D7359">
        <w:rPr>
          <w:b/>
          <w:bCs/>
          <w:lang w:eastAsia="ja-JP"/>
        </w:rPr>
        <w:t>Fidelity</w:t>
      </w:r>
      <w:proofErr w:type="spellEnd"/>
      <w:r w:rsidRPr="000D7359">
        <w:rPr>
          <w:b/>
          <w:bCs/>
          <w:lang w:eastAsia="ja-JP"/>
        </w:rPr>
        <w:t xml:space="preserve"> vycházejí z vlastního analytického výzkumu společnosti</w:t>
      </w:r>
    </w:p>
    <w:p w14:paraId="2AD1FDD7" w14:textId="3419DFF3" w:rsidR="000D7359" w:rsidRPr="000D7359" w:rsidRDefault="00BE4B98" w:rsidP="000D7359">
      <w:pPr>
        <w:pStyle w:val="F2-zkladn"/>
        <w:rPr>
          <w:lang w:eastAsia="ja-JP"/>
        </w:rPr>
      </w:pPr>
      <w:r>
        <w:rPr>
          <w:noProof/>
          <w:lang w:eastAsia="ja-JP"/>
        </w:rPr>
        <w:drawing>
          <wp:anchor distT="0" distB="0" distL="114300" distR="114300" simplePos="0" relativeHeight="251662336" behindDoc="1" locked="0" layoutInCell="1" allowOverlap="1" wp14:anchorId="07D4547B" wp14:editId="5FB13BBA">
            <wp:simplePos x="0" y="0"/>
            <wp:positionH relativeFrom="margin">
              <wp:posOffset>-1270</wp:posOffset>
            </wp:positionH>
            <wp:positionV relativeFrom="paragraph">
              <wp:posOffset>451485</wp:posOffset>
            </wp:positionV>
            <wp:extent cx="5759450" cy="2538095"/>
            <wp:effectExtent l="0" t="0" r="0" b="0"/>
            <wp:wrapTight wrapText="bothSides">
              <wp:wrapPolygon edited="0">
                <wp:start x="0" y="0"/>
                <wp:lineTo x="0" y="21400"/>
                <wp:lineTo x="21505" y="21400"/>
                <wp:lineTo x="21505" y="0"/>
                <wp:lineTo x="0" y="0"/>
              </wp:wrapPolygon>
            </wp:wrapTight>
            <wp:docPr id="1062729774"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729774" name="Obrázek 1062729774"/>
                    <pic:cNvPicPr/>
                  </pic:nvPicPr>
                  <pic:blipFill>
                    <a:blip r:embed="rId15">
                      <a:extLst>
                        <a:ext uri="{28A0092B-C50C-407E-A947-70E740481C1C}">
                          <a14:useLocalDpi xmlns:a14="http://schemas.microsoft.com/office/drawing/2010/main" val="0"/>
                        </a:ext>
                      </a:extLst>
                    </a:blip>
                    <a:stretch>
                      <a:fillRect/>
                    </a:stretch>
                  </pic:blipFill>
                  <pic:spPr>
                    <a:xfrm>
                      <a:off x="0" y="0"/>
                      <a:ext cx="5759450" cy="2538095"/>
                    </a:xfrm>
                    <a:prstGeom prst="rect">
                      <a:avLst/>
                    </a:prstGeom>
                  </pic:spPr>
                </pic:pic>
              </a:graphicData>
            </a:graphic>
          </wp:anchor>
        </w:drawing>
      </w:r>
    </w:p>
    <w:p w14:paraId="504DEE92" w14:textId="77777777" w:rsidR="00BE4B98" w:rsidRPr="00AA0E81" w:rsidRDefault="00BE4B98" w:rsidP="00BE4B98">
      <w:pPr>
        <w:rPr>
          <w:rFonts w:eastAsia="MS Mincho"/>
          <w:sz w:val="18"/>
          <w:szCs w:val="18"/>
          <w:lang w:eastAsia="ja-JP"/>
        </w:rPr>
      </w:pPr>
      <w:r w:rsidRPr="00AA0E81">
        <w:rPr>
          <w:rFonts w:eastAsia="MS Mincho"/>
          <w:sz w:val="18"/>
          <w:szCs w:val="18"/>
          <w:lang w:eastAsia="ja-JP"/>
        </w:rPr>
        <w:t xml:space="preserve">Zdroj: </w:t>
      </w:r>
      <w:proofErr w:type="spellStart"/>
      <w:r w:rsidRPr="00AA0E81">
        <w:rPr>
          <w:rFonts w:eastAsia="MS Mincho"/>
          <w:sz w:val="18"/>
          <w:szCs w:val="18"/>
          <w:lang w:eastAsia="ja-JP"/>
        </w:rPr>
        <w:t>Fidelity</w:t>
      </w:r>
      <w:proofErr w:type="spellEnd"/>
      <w:r w:rsidRPr="00AA0E81">
        <w:rPr>
          <w:rFonts w:eastAsia="MS Mincho"/>
          <w:sz w:val="18"/>
          <w:szCs w:val="18"/>
          <w:lang w:eastAsia="ja-JP"/>
        </w:rPr>
        <w:t xml:space="preserve"> International, k 30. červnu 2026.</w:t>
      </w:r>
    </w:p>
    <w:p w14:paraId="58C62EC7" w14:textId="292F83DE" w:rsidR="00BE4B98" w:rsidRPr="00BE4B98" w:rsidRDefault="00BE4B98" w:rsidP="00BE4B98">
      <w:pPr>
        <w:rPr>
          <w:rFonts w:eastAsia="MS Mincho"/>
          <w:lang w:eastAsia="ja-JP"/>
        </w:rPr>
      </w:pPr>
      <w:r w:rsidRPr="00BE4B98">
        <w:rPr>
          <w:rFonts w:eastAsia="MS Mincho"/>
          <w:lang w:eastAsia="ja-JP"/>
        </w:rPr>
        <w:lastRenderedPageBreak/>
        <w:t xml:space="preserve">Systematické využívání poznatků analytiků umožňuje investorům přistupovat k ETF s budoucím očekáváním a cíleně usilovat o požadované </w:t>
      </w:r>
      <w:proofErr w:type="spellStart"/>
      <w:r w:rsidRPr="00BE4B98">
        <w:rPr>
          <w:rFonts w:eastAsia="MS Mincho"/>
          <w:lang w:eastAsia="ja-JP"/>
        </w:rPr>
        <w:t>nadvýnosy</w:t>
      </w:r>
      <w:proofErr w:type="spellEnd"/>
      <w:r w:rsidRPr="00BE4B98">
        <w:rPr>
          <w:rFonts w:eastAsia="MS Mincho"/>
          <w:lang w:eastAsia="ja-JP"/>
        </w:rPr>
        <w:t>.</w:t>
      </w:r>
    </w:p>
    <w:p w14:paraId="45FD7D08" w14:textId="77777777" w:rsidR="00BE4B98" w:rsidRPr="00BE4B98" w:rsidRDefault="00BE4B98" w:rsidP="00BE4B98">
      <w:pPr>
        <w:rPr>
          <w:rFonts w:eastAsia="MS Mincho"/>
          <w:lang w:eastAsia="ja-JP"/>
        </w:rPr>
      </w:pPr>
      <w:r w:rsidRPr="00BE4B98">
        <w:rPr>
          <w:rFonts w:eastAsia="MS Mincho"/>
          <w:lang w:eastAsia="ja-JP"/>
        </w:rPr>
        <w:t xml:space="preserve">Je však důležité si uvědomit, že přínos kvalitní analytické práce velmi přesahuje jen nákupní a prodejní signály. To platí zejména v dnešní době, kdy umělá inteligence dokáže prohledávat celé archivy analytických dat a odhalovat souvislosti a vazby, které by člověku mohly uniknout. Analytici a portfolio manažeři </w:t>
      </w:r>
      <w:proofErr w:type="spellStart"/>
      <w:r w:rsidRPr="00BE4B98">
        <w:rPr>
          <w:rFonts w:eastAsia="MS Mincho"/>
          <w:lang w:eastAsia="ja-JP"/>
        </w:rPr>
        <w:t>Fidelity</w:t>
      </w:r>
      <w:proofErr w:type="spellEnd"/>
      <w:r w:rsidRPr="00BE4B98">
        <w:rPr>
          <w:rFonts w:eastAsia="MS Mincho"/>
          <w:lang w:eastAsia="ja-JP"/>
        </w:rPr>
        <w:t xml:space="preserve"> k analýzám využívají více než 30 let vlastních analytických dat, do jejichž archivu každý týden přibývá přibližně 1 000 nových záznamů.</w:t>
      </w:r>
    </w:p>
    <w:p w14:paraId="28B27599" w14:textId="77777777" w:rsidR="00BE4B98" w:rsidRPr="00BE4B98" w:rsidRDefault="00BE4B98" w:rsidP="00BE4B98">
      <w:pPr>
        <w:rPr>
          <w:rFonts w:eastAsia="MS Mincho"/>
          <w:lang w:eastAsia="ja-JP"/>
        </w:rPr>
      </w:pPr>
      <w:r w:rsidRPr="00BE4B98">
        <w:rPr>
          <w:rFonts w:eastAsia="MS Mincho"/>
          <w:lang w:eastAsia="ja-JP"/>
        </w:rPr>
        <w:t>Technologie, fundamentální analýza a změny v konstrukci ETF tak rozšiřují možnosti jejich využití v investičních portfoliích. S tím, jak investoři hledají investice, které pomáhají zvyšovat odolnost portfolií, se pozornost přesouvá od pouhého získávání expozice vůči trhu k hlubšímu zkoumání toho, co skutečně stojí za dosaženými výnosy.</w:t>
      </w:r>
    </w:p>
    <w:p w14:paraId="551B775E" w14:textId="6F7997D6" w:rsidR="003236C9" w:rsidRPr="003236C9" w:rsidRDefault="003236C9" w:rsidP="003236C9">
      <w:pPr>
        <w:rPr>
          <w:rFonts w:eastAsia="MS Mincho"/>
          <w:lang w:eastAsia="ja-JP"/>
        </w:rPr>
      </w:pPr>
    </w:p>
    <w:p w14:paraId="3EE095C8" w14:textId="3056B40F" w:rsidR="00362096" w:rsidRPr="003B4C8C" w:rsidRDefault="00362096" w:rsidP="00362096">
      <w:r w:rsidRPr="003B4C8C">
        <w:rPr>
          <w:b/>
          <w:bCs/>
        </w:rPr>
        <w:t>Pro více informací kontaktujte:</w:t>
      </w:r>
    </w:p>
    <w:p w14:paraId="48DEF66B" w14:textId="7BF9AAC9" w:rsidR="00362096" w:rsidRPr="003B4C8C" w:rsidRDefault="00362096" w:rsidP="00362096">
      <w:r w:rsidRPr="003B4C8C">
        <w:rPr>
          <w:b/>
          <w:bCs/>
        </w:rPr>
        <w:t>Eliška Krohová</w:t>
      </w:r>
    </w:p>
    <w:p w14:paraId="2CA03BC4" w14:textId="0A980320" w:rsidR="00362096" w:rsidRPr="003B4C8C" w:rsidRDefault="00362096" w:rsidP="00362096">
      <w:r w:rsidRPr="003B4C8C">
        <w:rPr>
          <w:b/>
          <w:bCs/>
        </w:rPr>
        <w:t>Crest Communications, a.s.</w:t>
      </w:r>
    </w:p>
    <w:p w14:paraId="1A21A054" w14:textId="072E9766" w:rsidR="00362096" w:rsidRPr="003B4C8C" w:rsidRDefault="00362096" w:rsidP="00362096">
      <w:r w:rsidRPr="003B4C8C">
        <w:t>Ostrovní 126/30</w:t>
      </w:r>
    </w:p>
    <w:p w14:paraId="17106CFE" w14:textId="22B26EC3" w:rsidR="00362096" w:rsidRPr="003B4C8C" w:rsidRDefault="00362096" w:rsidP="00362096">
      <w:r w:rsidRPr="003B4C8C">
        <w:t>110 00 Praha 1</w:t>
      </w:r>
    </w:p>
    <w:p w14:paraId="6C3201C5" w14:textId="695F3CF2" w:rsidR="00362096" w:rsidRPr="003B4C8C" w:rsidRDefault="00362096" w:rsidP="00362096">
      <w:proofErr w:type="spellStart"/>
      <w:r w:rsidRPr="003B4C8C">
        <w:t>gsm</w:t>
      </w:r>
      <w:proofErr w:type="spellEnd"/>
      <w:r w:rsidRPr="003B4C8C">
        <w:t>: + 420 720 406 659</w:t>
      </w:r>
    </w:p>
    <w:p w14:paraId="557AD6EE" w14:textId="65B24BAE" w:rsidR="00362096" w:rsidRPr="003B4C8C" w:rsidRDefault="00362096" w:rsidP="00362096">
      <w:r w:rsidRPr="003B4C8C">
        <w:t>e-mail: </w:t>
      </w:r>
      <w:hyperlink r:id="rId16" w:tgtFrame="_blank" w:history="1">
        <w:r w:rsidRPr="003B4C8C">
          <w:rPr>
            <w:rStyle w:val="Hypertextovodkaz"/>
          </w:rPr>
          <w:t>eliska.krohova@crestcom.cz</w:t>
        </w:r>
      </w:hyperlink>
    </w:p>
    <w:p w14:paraId="649445BF" w14:textId="2EB07278" w:rsidR="00362096" w:rsidRPr="003B4C8C" w:rsidRDefault="00362096" w:rsidP="00362096">
      <w:r w:rsidRPr="003B4C8C">
        <w:rPr>
          <w:b/>
          <w:bCs/>
        </w:rPr>
        <w:t>Informace pro editory:</w:t>
      </w:r>
    </w:p>
    <w:p w14:paraId="27448FB3" w14:textId="77777777" w:rsidR="00362096" w:rsidRPr="003B4C8C" w:rsidRDefault="00362096" w:rsidP="00362096">
      <w:proofErr w:type="spellStart"/>
      <w:r w:rsidRPr="003B4C8C">
        <w:rPr>
          <w:b/>
          <w:bCs/>
        </w:rPr>
        <w:t>Fidelity</w:t>
      </w:r>
      <w:proofErr w:type="spellEnd"/>
      <w:r w:rsidRPr="003B4C8C">
        <w:rPr>
          <w:b/>
          <w:bCs/>
        </w:rPr>
        <w:t xml:space="preserve"> International </w:t>
      </w:r>
      <w:r w:rsidRPr="003B4C8C">
        <w:t>byla založena v roce 1969 a poskytuje investiční služby a produkty soukromým a institucionálním investorům. Od ostatních globálních investičních společností se liší zejména formou vlastnictví. Jedná o čistě privátní, soukromou společnost vlastněnou přímo členy zakládající rodiny a managementem firmy. Společnost klade veliký důraz na provádění podrobných analýz, na jejichž základě pak identifikují pro klienty nejvýhodnější investiční příležitosti. Její speciální týmy investičních analytiků a odborníků působí ve všech hlavních finančních centrech světa – v Londýně, Frankfurtu, Paříži, Hongkongu, Tokiu, Singapuru, Soulu, Dillí, Bombaji a v Sydney. V současné době administruje aktiva ve výši 87 mld. USD (</w:t>
      </w:r>
      <w:proofErr w:type="spellStart"/>
      <w:r w:rsidRPr="003B4C8C">
        <w:t>assets</w:t>
      </w:r>
      <w:proofErr w:type="spellEnd"/>
      <w:r w:rsidRPr="003B4C8C">
        <w:t xml:space="preserve"> </w:t>
      </w:r>
      <w:proofErr w:type="spellStart"/>
      <w:r w:rsidRPr="003B4C8C">
        <w:t>under</w:t>
      </w:r>
      <w:proofErr w:type="spellEnd"/>
      <w:r w:rsidRPr="003B4C8C">
        <w:t xml:space="preserve"> </w:t>
      </w:r>
      <w:proofErr w:type="spellStart"/>
      <w:r w:rsidRPr="003B4C8C">
        <w:t>administration</w:t>
      </w:r>
      <w:proofErr w:type="spellEnd"/>
      <w:r w:rsidRPr="003B4C8C">
        <w:t xml:space="preserve">) a globálně pro klienty investovala 290 mld. USD ve 25 zemích napříč Evropou, Asií, Tichomořím, středním Východem a jižní Amerikou. V České republice </w:t>
      </w:r>
      <w:proofErr w:type="spellStart"/>
      <w:r w:rsidRPr="003B4C8C">
        <w:t>Fidelity</w:t>
      </w:r>
      <w:proofErr w:type="spellEnd"/>
      <w:r w:rsidRPr="003B4C8C">
        <w:t xml:space="preserve"> působí od roku 2012 a mezi její klienty patří celá řada významných institucionálních i privátních klientů, všechny významné banky, pojišťovny, finanční společnosti a nezávislí finanční poradci, kteří koncovým investorům zprostředkovávají investiční fondy této globální investiční společnosti.</w:t>
      </w:r>
    </w:p>
    <w:p w14:paraId="0C497B4E" w14:textId="77777777" w:rsidR="00362096" w:rsidRPr="003B4C8C" w:rsidRDefault="00362096" w:rsidP="00362096">
      <w:r w:rsidRPr="003B4C8C">
        <w:rPr>
          <w:b/>
          <w:bCs/>
        </w:rPr>
        <w:t>Důležité upozornění</w:t>
      </w:r>
    </w:p>
    <w:p w14:paraId="7A0C186E" w14:textId="77777777" w:rsidR="00362096" w:rsidRPr="003B4C8C" w:rsidRDefault="00362096" w:rsidP="00362096">
      <w:r w:rsidRPr="003B4C8C">
        <w:lastRenderedPageBreak/>
        <w:t>Toto je propagační materiál. Tento dokument nesmí být bez předchozího souhlasu rozmnožován nebo rozšiřován.</w:t>
      </w:r>
    </w:p>
    <w:p w14:paraId="3D121D89" w14:textId="77777777" w:rsidR="00362096" w:rsidRPr="003B4C8C" w:rsidRDefault="00362096" w:rsidP="00362096">
      <w:proofErr w:type="spellStart"/>
      <w:r w:rsidRPr="003B4C8C">
        <w:t>Fidelity</w:t>
      </w:r>
      <w:proofErr w:type="spellEnd"/>
      <w:r w:rsidRPr="003B4C8C">
        <w:t xml:space="preserve"> International poskytuje informace pouze o svých produktech a neposkytuje investiční poradenství na základě individuálních potřeb, jinak než konkrétně řádně stanovené oprávněnou společností při formální komunikaci s klientem.</w:t>
      </w:r>
    </w:p>
    <w:p w14:paraId="7B03E80F" w14:textId="77777777" w:rsidR="00362096" w:rsidRPr="003B4C8C" w:rsidRDefault="00362096" w:rsidP="00362096">
      <w:r w:rsidRPr="003B4C8C">
        <w:t xml:space="preserve">Jako </w:t>
      </w:r>
      <w:proofErr w:type="spellStart"/>
      <w:r w:rsidRPr="003B4C8C">
        <w:t>Fidelity</w:t>
      </w:r>
      <w:proofErr w:type="spellEnd"/>
      <w:r w:rsidRPr="003B4C8C">
        <w:t xml:space="preserve"> International je označována skupina společností, které tvoří globální organizaci správy investic poskytující informace o produktech a službách v určených jurisdikcích mimo Severní Ameriku. Toto písemné sdělení není směřováno k osobám se sídlem ve Spojených státech a takové osoby nesmí podle něj jednat. Je určeno pouze osobám bytem v takové v soudní příslušnosti, kde jsou příslušné fondy povoleny k distribuci nebo tam, kde není takové povolení vyžadováno.</w:t>
      </w:r>
    </w:p>
    <w:p w14:paraId="5FEA78BD" w14:textId="77777777" w:rsidR="00362096" w:rsidRPr="003B4C8C" w:rsidRDefault="00362096" w:rsidP="00362096">
      <w:r w:rsidRPr="003B4C8C">
        <w:t xml:space="preserve">Všechny názory představují stanoviska společnosti </w:t>
      </w:r>
      <w:proofErr w:type="spellStart"/>
      <w:r w:rsidRPr="003B4C8C">
        <w:t>Fidelity</w:t>
      </w:r>
      <w:proofErr w:type="spellEnd"/>
      <w:r w:rsidRPr="003B4C8C">
        <w:t xml:space="preserve">, není-li uvedeno jinak. </w:t>
      </w:r>
      <w:proofErr w:type="spellStart"/>
      <w:r w:rsidRPr="003B4C8C">
        <w:t>Fidelity</w:t>
      </w:r>
      <w:proofErr w:type="spellEnd"/>
      <w:r w:rsidRPr="003B4C8C">
        <w:t xml:space="preserve">, </w:t>
      </w:r>
      <w:proofErr w:type="spellStart"/>
      <w:r w:rsidRPr="003B4C8C">
        <w:t>Fidelity</w:t>
      </w:r>
      <w:proofErr w:type="spellEnd"/>
      <w:r w:rsidRPr="003B4C8C">
        <w:t xml:space="preserve"> International a logo </w:t>
      </w:r>
      <w:proofErr w:type="spellStart"/>
      <w:r w:rsidRPr="003B4C8C">
        <w:t>Fidelity</w:t>
      </w:r>
      <w:proofErr w:type="spellEnd"/>
      <w:r w:rsidRPr="003B4C8C">
        <w:t xml:space="preserve"> International a symbol měny F jsou všechno ochrannými známkami společnosti FIL Limited.</w:t>
      </w:r>
    </w:p>
    <w:p w14:paraId="4126DD13" w14:textId="77777777" w:rsidR="00362096" w:rsidRPr="003B4C8C" w:rsidRDefault="00362096" w:rsidP="00362096">
      <w:r w:rsidRPr="003B4C8C">
        <w:t xml:space="preserve">Tento dokument nepředstavuje distribuci, nabídku nebo výzvu k využití služeb investiční správy společnosti </w:t>
      </w:r>
      <w:proofErr w:type="spellStart"/>
      <w:r w:rsidRPr="003B4C8C">
        <w:t>Fidelity</w:t>
      </w:r>
      <w:proofErr w:type="spellEnd"/>
      <w:r w:rsidRPr="003B4C8C">
        <w:t>, ani nabídku ke koupi, prodeji nebo výzvu k nabídce ke koupi nebo prodeji jakýchkoli cenných papírů v jakékoli jurisdikci nebo zemi, kde taková distribuce nebo nabídka není povolena či by byla v rozporu s místními zákony nebo předpisy.</w:t>
      </w:r>
    </w:p>
    <w:p w14:paraId="0AFC09C2" w14:textId="77777777" w:rsidR="00362096" w:rsidRPr="003B4C8C" w:rsidRDefault="00362096" w:rsidP="00362096">
      <w:r w:rsidRPr="003B4C8C">
        <w:t xml:space="preserve">Odkazy v tomto dokumentu na konkrétní cenné papíry nelze vykládat jako doporučení ke koupi nebo prodeji těchto cenných papírů, ale jsou uvedeny pouze pro ilustraci. Investoři by rovněž měli vzít na vědomí, že vyjádřené názory již nemusí být aktuální a společnost </w:t>
      </w:r>
      <w:proofErr w:type="spellStart"/>
      <w:r w:rsidRPr="003B4C8C">
        <w:t>Fidelity</w:t>
      </w:r>
      <w:proofErr w:type="spellEnd"/>
      <w:r w:rsidRPr="003B4C8C">
        <w:t xml:space="preserve"> již mohla jednat. Průzkumy a analýzy použité v této dokumentaci shromažďuje společnost </w:t>
      </w:r>
      <w:proofErr w:type="spellStart"/>
      <w:r w:rsidRPr="003B4C8C">
        <w:t>Fidelity</w:t>
      </w:r>
      <w:proofErr w:type="spellEnd"/>
      <w:r w:rsidRPr="003B4C8C">
        <w:t xml:space="preserve"> pro své potřeby správce investic a je možné, že podle nich již bylo postupováno pro její vlastní účely. Tento materiál byl vytvořen společností </w:t>
      </w:r>
      <w:proofErr w:type="spellStart"/>
      <w:r w:rsidRPr="003B4C8C">
        <w:t>Fidelity</w:t>
      </w:r>
      <w:proofErr w:type="spellEnd"/>
      <w:r w:rsidRPr="003B4C8C">
        <w:t xml:space="preserve"> International.</w:t>
      </w:r>
    </w:p>
    <w:p w14:paraId="020F0184" w14:textId="77777777" w:rsidR="00362096" w:rsidRPr="003B4C8C" w:rsidRDefault="00362096" w:rsidP="00362096">
      <w:r w:rsidRPr="003B4C8C">
        <w:t>Minulá výkonnost není spolehlivým ukazatelem budoucích výsledků.</w:t>
      </w:r>
    </w:p>
    <w:p w14:paraId="14B9D49C" w14:textId="77777777" w:rsidR="00362096" w:rsidRPr="003B4C8C" w:rsidRDefault="00362096" w:rsidP="00362096">
      <w:r w:rsidRPr="003B4C8C">
        <w:t xml:space="preserve">Tento dokument může obsahovat materiály třetích stran, které jsou dodávány společnostmi, jež nejsou spojeny s žádným subjektem </w:t>
      </w:r>
      <w:proofErr w:type="spellStart"/>
      <w:r w:rsidRPr="003B4C8C">
        <w:t>Fidelity</w:t>
      </w:r>
      <w:proofErr w:type="spellEnd"/>
      <w:r w:rsidRPr="003B4C8C">
        <w:t xml:space="preserve"> (obsah třetích stran). Společnost </w:t>
      </w:r>
      <w:proofErr w:type="spellStart"/>
      <w:r w:rsidRPr="003B4C8C">
        <w:t>Fidelity</w:t>
      </w:r>
      <w:proofErr w:type="spellEnd"/>
      <w:r w:rsidRPr="003B4C8C">
        <w:t xml:space="preserve"> se nepodílela na přípravě, přijetí ani úpravě takových materiálů třetích stran a výslovně ani implicitně takový obsah neschvaluje ani nepodporovala.</w:t>
      </w:r>
    </w:p>
    <w:p w14:paraId="381E2C3B" w14:textId="77777777" w:rsidR="00362096" w:rsidRPr="003B4C8C" w:rsidRDefault="00362096" w:rsidP="00362096">
      <w:r w:rsidRPr="003B4C8C">
        <w:t>Údaje nejsou auditované. Odborníci provádějící průzkum zahrnují společníky a analytiky. Doporučujeme, abyste si před uskutečněním jakéhokoli investičního rozhodnutí opatřili podrobné informace. Investice by měly být prováděny na základě aktuálního prospektu (v angličtině a češtině) a dokumentu KIID (Klíčové informace pro investory) - dostupný v angličtině a češtině, které jsou dostupné spolu s výročními a pololetními zprávami zdarma na </w:t>
      </w:r>
      <w:hyperlink r:id="rId17" w:tgtFrame="_blank" w:history="1">
        <w:r w:rsidRPr="003B4C8C">
          <w:rPr>
            <w:rStyle w:val="Hypertextovodkaz"/>
          </w:rPr>
          <w:t>https://www.fidelityinternational.com</w:t>
        </w:r>
      </w:hyperlink>
      <w:r w:rsidRPr="003B4C8C">
        <w:t xml:space="preserve"> nebo od našich </w:t>
      </w:r>
      <w:proofErr w:type="spellStart"/>
      <w:r w:rsidRPr="003B4C8C">
        <w:t>distributořů</w:t>
      </w:r>
      <w:proofErr w:type="spellEnd"/>
      <w:r w:rsidRPr="003B4C8C">
        <w:t xml:space="preserve"> a našeho evropského Centra služeb v Lucembursku, sídlící na adrese FIL (</w:t>
      </w:r>
      <w:proofErr w:type="spellStart"/>
      <w:r w:rsidRPr="003B4C8C">
        <w:t>Luxembourg</w:t>
      </w:r>
      <w:proofErr w:type="spellEnd"/>
      <w:r w:rsidRPr="003B4C8C">
        <w:t xml:space="preserve">) S.A. 2a, </w:t>
      </w:r>
      <w:proofErr w:type="spellStart"/>
      <w:r w:rsidRPr="003B4C8C">
        <w:t>rue</w:t>
      </w:r>
      <w:proofErr w:type="spellEnd"/>
      <w:r w:rsidRPr="003B4C8C">
        <w:t xml:space="preserve"> Albert </w:t>
      </w:r>
      <w:proofErr w:type="spellStart"/>
      <w:r w:rsidRPr="003B4C8C">
        <w:t>Borschette</w:t>
      </w:r>
      <w:proofErr w:type="spellEnd"/>
      <w:r w:rsidRPr="003B4C8C">
        <w:t xml:space="preserve"> BP 2174 L-1021 </w:t>
      </w:r>
      <w:proofErr w:type="spellStart"/>
      <w:r w:rsidRPr="003B4C8C">
        <w:t>Luxembourg</w:t>
      </w:r>
      <w:proofErr w:type="spellEnd"/>
      <w:r w:rsidRPr="003B4C8C">
        <w:t>.</w:t>
      </w:r>
    </w:p>
    <w:p w14:paraId="7893AFD1" w14:textId="77777777" w:rsidR="00362096" w:rsidRPr="003B4C8C" w:rsidRDefault="00362096" w:rsidP="00362096">
      <w:proofErr w:type="spellStart"/>
      <w:r w:rsidRPr="003B4C8C">
        <w:t>Fidelity</w:t>
      </w:r>
      <w:proofErr w:type="spellEnd"/>
      <w:r w:rsidRPr="003B4C8C">
        <w:t xml:space="preserve"> </w:t>
      </w:r>
      <w:proofErr w:type="spellStart"/>
      <w:r w:rsidRPr="003B4C8C">
        <w:t>Funds</w:t>
      </w:r>
      <w:proofErr w:type="spellEnd"/>
      <w:r w:rsidRPr="003B4C8C">
        <w:t xml:space="preserve"> "FF" je otevřená investiční společnost (SKIPCP) sídlící v Lucembursku, která disponuje akciemi různých tříd. Společnost FIL </w:t>
      </w:r>
      <w:proofErr w:type="spellStart"/>
      <w:r w:rsidRPr="003B4C8C">
        <w:t>Investment</w:t>
      </w:r>
      <w:proofErr w:type="spellEnd"/>
      <w:r w:rsidRPr="003B4C8C">
        <w:t xml:space="preserve"> Management (</w:t>
      </w:r>
      <w:proofErr w:type="spellStart"/>
      <w:r w:rsidRPr="003B4C8C">
        <w:t>Luxembourg</w:t>
      </w:r>
      <w:proofErr w:type="spellEnd"/>
      <w:r w:rsidRPr="003B4C8C">
        <w:t xml:space="preserve">) S.A. si vyhrazuje právo ukončit nabízení podfondu a jeho podílových jednotek na trhu v souladu s článkem 93 písm. a) směrnice 2009/65/ES a článkem 32 písm. a) směrnice 2011/61/EU. Toto ukončení bude předem oznámeno v </w:t>
      </w:r>
      <w:proofErr w:type="spellStart"/>
      <w:r w:rsidRPr="003B4C8C">
        <w:lastRenderedPageBreak/>
        <w:t>Lucembursku.Obchodní</w:t>
      </w:r>
      <w:proofErr w:type="spellEnd"/>
      <w:r w:rsidRPr="003B4C8C">
        <w:t xml:space="preserve"> známky třetích stran, autorská práva a další práva duševního vlastnictví zůstávají majetkem jejich konkrétních vlastníků.</w:t>
      </w:r>
    </w:p>
    <w:p w14:paraId="54CCE3B4" w14:textId="77777777" w:rsidR="00362096" w:rsidRPr="003B4C8C" w:rsidRDefault="00362096" w:rsidP="00362096">
      <w:r w:rsidRPr="003B4C8C">
        <w:t>Investoři a potenciální investoři mohou získat informace o svých právech ve spojení se stížnostmi a soudními spory na tomto odkazu: </w:t>
      </w:r>
      <w:hyperlink r:id="rId18" w:tgtFrame="_blank" w:history="1">
        <w:r w:rsidRPr="003B4C8C">
          <w:rPr>
            <w:rStyle w:val="Hypertextovodkaz"/>
          </w:rPr>
          <w:t>https://www.fidelity.cz</w:t>
        </w:r>
      </w:hyperlink>
      <w:r w:rsidRPr="003B4C8C">
        <w:t> (v češtině).</w:t>
      </w:r>
    </w:p>
    <w:p w14:paraId="5348571E" w14:textId="77777777" w:rsidR="00362096" w:rsidRDefault="00362096" w:rsidP="00362096"/>
    <w:p w14:paraId="032496E3" w14:textId="3BF8AFA3" w:rsidR="00D20058" w:rsidRDefault="00BE4B98" w:rsidP="00BE4B98">
      <w:pPr>
        <w:tabs>
          <w:tab w:val="left" w:pos="1512"/>
        </w:tabs>
        <w:spacing w:after="160" w:line="278" w:lineRule="auto"/>
      </w:pPr>
      <w:r w:rsidRPr="00BE4B98">
        <w:t>MKAT14160</w:t>
      </w:r>
    </w:p>
    <w:sectPr w:rsidR="00D20058" w:rsidSect="00F50497">
      <w:headerReference w:type="default" r:id="rId19"/>
      <w:footerReference w:type="default" r:id="rId20"/>
      <w:headerReference w:type="first" r:id="rId21"/>
      <w:pgSz w:w="11906" w:h="16838" w:code="9"/>
      <w:pgMar w:top="2268" w:right="1418" w:bottom="426" w:left="1418" w:header="567" w:footer="3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57E2E" w14:textId="77777777" w:rsidR="003A4E7D" w:rsidRDefault="003A4E7D">
      <w:r>
        <w:separator/>
      </w:r>
    </w:p>
  </w:endnote>
  <w:endnote w:type="continuationSeparator" w:id="0">
    <w:p w14:paraId="0F041A92" w14:textId="77777777" w:rsidR="003A4E7D" w:rsidRDefault="003A4E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Gulim">
    <w:panose1 w:val="020B0600000101010101"/>
    <w:charset w:val="81"/>
    <w:family w:val="swiss"/>
    <w:pitch w:val="variable"/>
    <w:sig w:usb0="B00002AF" w:usb1="69D77CFB" w:usb2="00000030" w:usb3="00000000" w:csb0="000800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AF1AF" w14:textId="77777777" w:rsidR="001D1343" w:rsidRPr="00585CC6" w:rsidRDefault="001D1343" w:rsidP="00585CC6">
    <w:pPr>
      <w:pStyle w:val="F-zpat"/>
      <w:jc w:val="left"/>
      <w:rPr>
        <w:b/>
        <w:bCs/>
      </w:rPr>
    </w:pPr>
    <w:r>
      <w:rPr>
        <w:b/>
        <w:bC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E7998" w14:textId="77777777" w:rsidR="003A4E7D" w:rsidRDefault="003A4E7D">
      <w:r>
        <w:separator/>
      </w:r>
    </w:p>
  </w:footnote>
  <w:footnote w:type="continuationSeparator" w:id="0">
    <w:p w14:paraId="5E670347" w14:textId="77777777" w:rsidR="003A4E7D" w:rsidRDefault="003A4E7D">
      <w:r>
        <w:continuationSeparator/>
      </w:r>
    </w:p>
  </w:footnote>
  <w:footnote w:type="continuationNotice" w:id="1">
    <w:p w14:paraId="5B9E16A1" w14:textId="77777777" w:rsidR="003A4E7D" w:rsidRDefault="003A4E7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CDA8C" w14:textId="77777777" w:rsidR="001D1343" w:rsidRDefault="001D1343" w:rsidP="00585CC6">
    <w:pPr>
      <w:pStyle w:val="F-zpat"/>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2A25A" w14:textId="77777777" w:rsidR="001D1343" w:rsidRDefault="0018797C">
    <w:pPr>
      <w:pStyle w:val="Zhlav"/>
    </w:pPr>
    <w:r>
      <w:rPr>
        <w:noProof/>
      </w:rPr>
      <w:drawing>
        <wp:anchor distT="0" distB="0" distL="114300" distR="114300" simplePos="0" relativeHeight="251657728" behindDoc="0" locked="0" layoutInCell="1" allowOverlap="1" wp14:anchorId="0211B2D4" wp14:editId="7C062988">
          <wp:simplePos x="0" y="0"/>
          <wp:positionH relativeFrom="column">
            <wp:posOffset>4181475</wp:posOffset>
          </wp:positionH>
          <wp:positionV relativeFrom="paragraph">
            <wp:posOffset>255270</wp:posOffset>
          </wp:positionV>
          <wp:extent cx="1581150" cy="485775"/>
          <wp:effectExtent l="0" t="0" r="0" b="9525"/>
          <wp:wrapSquare wrapText="bothSides"/>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1150" cy="485775"/>
                  </a:xfrm>
                  <a:prstGeom prst="rect">
                    <a:avLst/>
                  </a:prstGeom>
                  <a:noFill/>
                </pic:spPr>
              </pic:pic>
            </a:graphicData>
          </a:graphic>
        </wp:anchor>
      </w:drawing>
    </w:r>
  </w:p>
  <w:p w14:paraId="41DB1735" w14:textId="77777777" w:rsidR="001D1343" w:rsidRDefault="001D1343">
    <w:pPr>
      <w:pStyle w:val="Zhlav"/>
    </w:pPr>
  </w:p>
  <w:p w14:paraId="0D163528" w14:textId="77777777" w:rsidR="001D1343" w:rsidRDefault="001D1343">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A0F82A"/>
    <w:lvl w:ilvl="0">
      <w:start w:val="1"/>
      <w:numFmt w:val="decimal"/>
      <w:pStyle w:val="slovanseznam5"/>
      <w:lvlText w:val="%1."/>
      <w:lvlJc w:val="left"/>
      <w:pPr>
        <w:tabs>
          <w:tab w:val="num" w:pos="1983"/>
        </w:tabs>
        <w:ind w:left="1983" w:hanging="360"/>
      </w:pPr>
    </w:lvl>
  </w:abstractNum>
  <w:abstractNum w:abstractNumId="1" w15:restartNumberingAfterBreak="0">
    <w:nsid w:val="FFFFFF7D"/>
    <w:multiLevelType w:val="singleLevel"/>
    <w:tmpl w:val="4B821240"/>
    <w:lvl w:ilvl="0">
      <w:start w:val="1"/>
      <w:numFmt w:val="decimal"/>
      <w:pStyle w:val="slovanseznam4"/>
      <w:lvlText w:val="%1."/>
      <w:lvlJc w:val="left"/>
      <w:pPr>
        <w:tabs>
          <w:tab w:val="num" w:pos="1209"/>
        </w:tabs>
        <w:ind w:left="1209" w:hanging="360"/>
      </w:pPr>
    </w:lvl>
  </w:abstractNum>
  <w:abstractNum w:abstractNumId="2" w15:restartNumberingAfterBreak="0">
    <w:nsid w:val="FFFFFF7E"/>
    <w:multiLevelType w:val="singleLevel"/>
    <w:tmpl w:val="D1A8A7E8"/>
    <w:lvl w:ilvl="0">
      <w:start w:val="1"/>
      <w:numFmt w:val="decimal"/>
      <w:pStyle w:val="slovanseznam3"/>
      <w:lvlText w:val="%1."/>
      <w:lvlJc w:val="left"/>
      <w:pPr>
        <w:tabs>
          <w:tab w:val="num" w:pos="926"/>
        </w:tabs>
        <w:ind w:left="926" w:hanging="360"/>
      </w:pPr>
    </w:lvl>
  </w:abstractNum>
  <w:abstractNum w:abstractNumId="3" w15:restartNumberingAfterBreak="0">
    <w:nsid w:val="FFFFFF7F"/>
    <w:multiLevelType w:val="singleLevel"/>
    <w:tmpl w:val="BA8621DA"/>
    <w:lvl w:ilvl="0">
      <w:start w:val="1"/>
      <w:numFmt w:val="decimal"/>
      <w:pStyle w:val="slovanseznam2"/>
      <w:lvlText w:val="%1."/>
      <w:lvlJc w:val="left"/>
      <w:pPr>
        <w:tabs>
          <w:tab w:val="num" w:pos="643"/>
        </w:tabs>
        <w:ind w:left="643" w:hanging="360"/>
      </w:pPr>
    </w:lvl>
  </w:abstractNum>
  <w:abstractNum w:abstractNumId="4" w15:restartNumberingAfterBreak="0">
    <w:nsid w:val="FFFFFF80"/>
    <w:multiLevelType w:val="singleLevel"/>
    <w:tmpl w:val="0E647C2A"/>
    <w:lvl w:ilvl="0">
      <w:start w:val="1"/>
      <w:numFmt w:val="bullet"/>
      <w:pStyle w:val="Seznamsodrkami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092D47A"/>
    <w:lvl w:ilvl="0">
      <w:start w:val="1"/>
      <w:numFmt w:val="bullet"/>
      <w:pStyle w:val="Seznamsodrkami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865CF2"/>
    <w:lvl w:ilvl="0">
      <w:start w:val="1"/>
      <w:numFmt w:val="bullet"/>
      <w:pStyle w:val="Seznamsodrkami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5E6F34"/>
    <w:lvl w:ilvl="0">
      <w:start w:val="1"/>
      <w:numFmt w:val="bullet"/>
      <w:pStyle w:val="Seznamsodrkami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F4A6936"/>
    <w:lvl w:ilvl="0">
      <w:start w:val="1"/>
      <w:numFmt w:val="decimal"/>
      <w:pStyle w:val="slovanseznam"/>
      <w:lvlText w:val="%1."/>
      <w:lvlJc w:val="left"/>
      <w:pPr>
        <w:tabs>
          <w:tab w:val="num" w:pos="360"/>
        </w:tabs>
        <w:ind w:left="360" w:hanging="360"/>
      </w:pPr>
    </w:lvl>
  </w:abstractNum>
  <w:abstractNum w:abstractNumId="9" w15:restartNumberingAfterBreak="0">
    <w:nsid w:val="FFFFFF89"/>
    <w:multiLevelType w:val="singleLevel"/>
    <w:tmpl w:val="C0BC8210"/>
    <w:lvl w:ilvl="0">
      <w:start w:val="1"/>
      <w:numFmt w:val="bullet"/>
      <w:pStyle w:val="Seznamsodrkami"/>
      <w:lvlText w:val=""/>
      <w:lvlJc w:val="left"/>
      <w:pPr>
        <w:tabs>
          <w:tab w:val="num" w:pos="360"/>
        </w:tabs>
        <w:ind w:left="360" w:hanging="360"/>
      </w:pPr>
      <w:rPr>
        <w:rFonts w:ascii="Symbol" w:hAnsi="Symbol" w:hint="default"/>
      </w:rPr>
    </w:lvl>
  </w:abstractNum>
  <w:abstractNum w:abstractNumId="10" w15:restartNumberingAfterBreak="0">
    <w:nsid w:val="06910746"/>
    <w:multiLevelType w:val="multilevel"/>
    <w:tmpl w:val="04050023"/>
    <w:styleLink w:val="lnekoddl"/>
    <w:lvl w:ilvl="0">
      <w:start w:val="1"/>
      <w:numFmt w:val="upperRoman"/>
      <w:lvlText w:val="Článek %1."/>
      <w:lvlJc w:val="left"/>
      <w:pPr>
        <w:tabs>
          <w:tab w:val="num" w:pos="1080"/>
        </w:tabs>
        <w:ind w:left="0" w:firstLine="0"/>
      </w:pPr>
    </w:lvl>
    <w:lvl w:ilvl="1">
      <w:start w:val="1"/>
      <w:numFmt w:val="decimalZero"/>
      <w:isLgl/>
      <w:lvlText w:val="Oddíl %1.%2"/>
      <w:lvlJc w:val="left"/>
      <w:pPr>
        <w:tabs>
          <w:tab w:val="num" w:pos="72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0A6D266C"/>
    <w:multiLevelType w:val="multilevel"/>
    <w:tmpl w:val="66487184"/>
    <w:lvl w:ilvl="0">
      <w:start w:val="1"/>
      <w:numFmt w:val="bullet"/>
      <w:pStyle w:val="F3-odrka"/>
      <w:lvlText w:val=""/>
      <w:lvlJc w:val="left"/>
      <w:pPr>
        <w:tabs>
          <w:tab w:val="num" w:pos="794"/>
        </w:tabs>
        <w:ind w:left="794" w:hanging="454"/>
      </w:pPr>
      <w:rPr>
        <w:rFonts w:ascii="Symbol" w:hAnsi="Symbol" w:hint="default"/>
        <w:color w:val="auto"/>
      </w:rPr>
    </w:lvl>
    <w:lvl w:ilvl="1">
      <w:start w:val="1"/>
      <w:numFmt w:val="bullet"/>
      <w:lvlText w:val=""/>
      <w:lvlJc w:val="left"/>
      <w:pPr>
        <w:tabs>
          <w:tab w:val="num" w:pos="1247"/>
        </w:tabs>
        <w:ind w:left="1247" w:hanging="453"/>
      </w:pPr>
      <w:rPr>
        <w:rFonts w:ascii="Symbol" w:hAnsi="Symbol" w:hint="default"/>
        <w:color w:val="auto"/>
      </w:rPr>
    </w:lvl>
    <w:lvl w:ilvl="2">
      <w:start w:val="1"/>
      <w:numFmt w:val="bullet"/>
      <w:lvlText w:val=""/>
      <w:lvlJc w:val="left"/>
      <w:pPr>
        <w:tabs>
          <w:tab w:val="num" w:pos="1701"/>
        </w:tabs>
        <w:ind w:left="1701" w:hanging="454"/>
      </w:pPr>
      <w:rPr>
        <w:rFonts w:ascii="Symbol" w:hAnsi="Symbol" w:hint="default"/>
        <w:color w:val="auto"/>
      </w:rPr>
    </w:lvl>
    <w:lvl w:ilvl="3">
      <w:start w:val="1"/>
      <w:numFmt w:val="decimal"/>
      <w:lvlText w:val="%1.%2.%3.%4"/>
      <w:lvlJc w:val="left"/>
      <w:pPr>
        <w:tabs>
          <w:tab w:val="num" w:pos="794"/>
        </w:tabs>
        <w:ind w:left="794" w:hanging="79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164877BA"/>
    <w:multiLevelType w:val="multilevel"/>
    <w:tmpl w:val="05CCA26C"/>
    <w:lvl w:ilvl="0">
      <w:start w:val="1"/>
      <w:numFmt w:val="decimal"/>
      <w:lvlRestart w:val="0"/>
      <w:pStyle w:val="F4-slovn"/>
      <w:lvlText w:val="%1."/>
      <w:lvlJc w:val="left"/>
      <w:pPr>
        <w:tabs>
          <w:tab w:val="num" w:pos="794"/>
        </w:tabs>
        <w:ind w:left="794" w:hanging="454"/>
      </w:pPr>
      <w:rPr>
        <w:rFonts w:hint="default"/>
      </w:rPr>
    </w:lvl>
    <w:lvl w:ilvl="1">
      <w:start w:val="1"/>
      <w:numFmt w:val="decimal"/>
      <w:lvlText w:val="%1.%2"/>
      <w:lvlJc w:val="left"/>
      <w:pPr>
        <w:tabs>
          <w:tab w:val="num" w:pos="777"/>
        </w:tabs>
        <w:ind w:left="777" w:hanging="794"/>
      </w:pPr>
      <w:rPr>
        <w:rFonts w:hint="default"/>
      </w:rPr>
    </w:lvl>
    <w:lvl w:ilvl="2">
      <w:start w:val="1"/>
      <w:numFmt w:val="decimal"/>
      <w:lvlText w:val="%1.%2.%3"/>
      <w:lvlJc w:val="left"/>
      <w:pPr>
        <w:tabs>
          <w:tab w:val="num" w:pos="777"/>
        </w:tabs>
        <w:ind w:left="777" w:hanging="794"/>
      </w:pPr>
      <w:rPr>
        <w:rFonts w:hint="default"/>
      </w:rPr>
    </w:lvl>
    <w:lvl w:ilvl="3">
      <w:start w:val="1"/>
      <w:numFmt w:val="decimal"/>
      <w:lvlText w:val="%1.%2.%3.%4"/>
      <w:lvlJc w:val="left"/>
      <w:pPr>
        <w:tabs>
          <w:tab w:val="num" w:pos="777"/>
        </w:tabs>
        <w:ind w:left="777" w:hanging="794"/>
      </w:pPr>
      <w:rPr>
        <w:rFonts w:hint="default"/>
      </w:rPr>
    </w:lvl>
    <w:lvl w:ilvl="4">
      <w:start w:val="1"/>
      <w:numFmt w:val="decimal"/>
      <w:lvlText w:val="%1.%2.%3.%4.%5"/>
      <w:lvlJc w:val="left"/>
      <w:pPr>
        <w:tabs>
          <w:tab w:val="num" w:pos="991"/>
        </w:tabs>
        <w:ind w:left="991" w:hanging="1008"/>
      </w:pPr>
      <w:rPr>
        <w:rFonts w:hint="default"/>
      </w:rPr>
    </w:lvl>
    <w:lvl w:ilvl="5">
      <w:start w:val="1"/>
      <w:numFmt w:val="decimal"/>
      <w:lvlText w:val="%1.%2.%3.%4.%5.%6"/>
      <w:lvlJc w:val="left"/>
      <w:pPr>
        <w:tabs>
          <w:tab w:val="num" w:pos="1135"/>
        </w:tabs>
        <w:ind w:left="1135" w:hanging="1152"/>
      </w:pPr>
      <w:rPr>
        <w:rFonts w:hint="default"/>
      </w:rPr>
    </w:lvl>
    <w:lvl w:ilvl="6">
      <w:start w:val="1"/>
      <w:numFmt w:val="decimal"/>
      <w:lvlText w:val="%1.%2.%3.%4.%5.%6.%7"/>
      <w:lvlJc w:val="left"/>
      <w:pPr>
        <w:tabs>
          <w:tab w:val="num" w:pos="1279"/>
        </w:tabs>
        <w:ind w:left="1279" w:hanging="1296"/>
      </w:pPr>
      <w:rPr>
        <w:rFonts w:hint="default"/>
      </w:rPr>
    </w:lvl>
    <w:lvl w:ilvl="7">
      <w:start w:val="1"/>
      <w:numFmt w:val="decimal"/>
      <w:lvlText w:val="%1.%2.%3.%4.%5.%6.%7.%8"/>
      <w:lvlJc w:val="left"/>
      <w:pPr>
        <w:tabs>
          <w:tab w:val="num" w:pos="1423"/>
        </w:tabs>
        <w:ind w:left="1423" w:hanging="1440"/>
      </w:pPr>
      <w:rPr>
        <w:rFonts w:hint="default"/>
      </w:rPr>
    </w:lvl>
    <w:lvl w:ilvl="8">
      <w:start w:val="1"/>
      <w:numFmt w:val="decimal"/>
      <w:lvlText w:val="%1.%2.%3.%4.%5.%6.%7.%8.%9"/>
      <w:lvlJc w:val="left"/>
      <w:pPr>
        <w:tabs>
          <w:tab w:val="num" w:pos="1567"/>
        </w:tabs>
        <w:ind w:left="1567" w:hanging="1584"/>
      </w:pPr>
      <w:rPr>
        <w:rFonts w:hint="default"/>
      </w:rPr>
    </w:lvl>
  </w:abstractNum>
  <w:abstractNum w:abstractNumId="13" w15:restartNumberingAfterBreak="0">
    <w:nsid w:val="17024E5B"/>
    <w:multiLevelType w:val="hybridMultilevel"/>
    <w:tmpl w:val="B214151A"/>
    <w:lvl w:ilvl="0" w:tplc="48789186">
      <w:start w:val="1"/>
      <w:numFmt w:val="none"/>
      <w:pStyle w:val="F6-kol"/>
      <w:lvlText w:val="!! ÚKOL !!"/>
      <w:lvlJc w:val="left"/>
      <w:pPr>
        <w:tabs>
          <w:tab w:val="num" w:pos="0"/>
        </w:tabs>
        <w:ind w:left="0" w:firstLine="0"/>
      </w:pPr>
      <w:rPr>
        <w:rFonts w:hint="default"/>
        <w:b/>
        <w:i w:val="0"/>
        <w:color w:val="0000FF"/>
      </w:rPr>
    </w:lvl>
    <w:lvl w:ilvl="1" w:tplc="376EF75A">
      <w:start w:val="1"/>
      <w:numFmt w:val="lowerLetter"/>
      <w:lvlText w:val="%2)"/>
      <w:lvlJc w:val="left"/>
      <w:pPr>
        <w:tabs>
          <w:tab w:val="num" w:pos="743"/>
        </w:tabs>
        <w:ind w:left="743" w:hanging="363"/>
      </w:pPr>
      <w:rPr>
        <w:rFonts w:hint="default"/>
        <w:b/>
        <w:i w:val="0"/>
        <w:color w:val="0000FF"/>
      </w:rPr>
    </w:lvl>
    <w:lvl w:ilvl="2" w:tplc="EB0CEBFC" w:tentative="1">
      <w:start w:val="1"/>
      <w:numFmt w:val="lowerRoman"/>
      <w:lvlText w:val="%3."/>
      <w:lvlJc w:val="right"/>
      <w:pPr>
        <w:tabs>
          <w:tab w:val="num" w:pos="2160"/>
        </w:tabs>
        <w:ind w:left="2160" w:hanging="180"/>
      </w:pPr>
    </w:lvl>
    <w:lvl w:ilvl="3" w:tplc="C90EC44E" w:tentative="1">
      <w:start w:val="1"/>
      <w:numFmt w:val="decimal"/>
      <w:lvlText w:val="%4."/>
      <w:lvlJc w:val="left"/>
      <w:pPr>
        <w:tabs>
          <w:tab w:val="num" w:pos="2880"/>
        </w:tabs>
        <w:ind w:left="2880" w:hanging="360"/>
      </w:pPr>
    </w:lvl>
    <w:lvl w:ilvl="4" w:tplc="64E075F6" w:tentative="1">
      <w:start w:val="1"/>
      <w:numFmt w:val="lowerLetter"/>
      <w:lvlText w:val="%5."/>
      <w:lvlJc w:val="left"/>
      <w:pPr>
        <w:tabs>
          <w:tab w:val="num" w:pos="3600"/>
        </w:tabs>
        <w:ind w:left="3600" w:hanging="360"/>
      </w:pPr>
    </w:lvl>
    <w:lvl w:ilvl="5" w:tplc="DAF6A924" w:tentative="1">
      <w:start w:val="1"/>
      <w:numFmt w:val="lowerRoman"/>
      <w:lvlText w:val="%6."/>
      <w:lvlJc w:val="right"/>
      <w:pPr>
        <w:tabs>
          <w:tab w:val="num" w:pos="4320"/>
        </w:tabs>
        <w:ind w:left="4320" w:hanging="180"/>
      </w:pPr>
    </w:lvl>
    <w:lvl w:ilvl="6" w:tplc="53CAEDF8" w:tentative="1">
      <w:start w:val="1"/>
      <w:numFmt w:val="decimal"/>
      <w:lvlText w:val="%7."/>
      <w:lvlJc w:val="left"/>
      <w:pPr>
        <w:tabs>
          <w:tab w:val="num" w:pos="5040"/>
        </w:tabs>
        <w:ind w:left="5040" w:hanging="360"/>
      </w:pPr>
    </w:lvl>
    <w:lvl w:ilvl="7" w:tplc="DDE8AF34" w:tentative="1">
      <w:start w:val="1"/>
      <w:numFmt w:val="lowerLetter"/>
      <w:lvlText w:val="%8."/>
      <w:lvlJc w:val="left"/>
      <w:pPr>
        <w:tabs>
          <w:tab w:val="num" w:pos="5760"/>
        </w:tabs>
        <w:ind w:left="5760" w:hanging="360"/>
      </w:pPr>
    </w:lvl>
    <w:lvl w:ilvl="8" w:tplc="EAD46C3A" w:tentative="1">
      <w:start w:val="1"/>
      <w:numFmt w:val="lowerRoman"/>
      <w:lvlText w:val="%9."/>
      <w:lvlJc w:val="right"/>
      <w:pPr>
        <w:tabs>
          <w:tab w:val="num" w:pos="6480"/>
        </w:tabs>
        <w:ind w:left="6480" w:hanging="180"/>
      </w:pPr>
    </w:lvl>
  </w:abstractNum>
  <w:abstractNum w:abstractNumId="14" w15:restartNumberingAfterBreak="0">
    <w:nsid w:val="1ACA5DF5"/>
    <w:multiLevelType w:val="multilevel"/>
    <w:tmpl w:val="77D46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4D240C"/>
    <w:multiLevelType w:val="multilevel"/>
    <w:tmpl w:val="51BCF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56A09F1"/>
    <w:multiLevelType w:val="multilevel"/>
    <w:tmpl w:val="9EF81F8C"/>
    <w:lvl w:ilvl="0">
      <w:start w:val="1"/>
      <w:numFmt w:val="decimal"/>
      <w:pStyle w:val="F10-nadpis1"/>
      <w:lvlText w:val="%1"/>
      <w:lvlJc w:val="left"/>
      <w:pPr>
        <w:tabs>
          <w:tab w:val="num" w:pos="794"/>
        </w:tabs>
        <w:ind w:left="794" w:hanging="794"/>
      </w:pPr>
      <w:rPr>
        <w:rFonts w:hint="default"/>
      </w:rPr>
    </w:lvl>
    <w:lvl w:ilvl="1">
      <w:start w:val="1"/>
      <w:numFmt w:val="decimal"/>
      <w:pStyle w:val="F9-nadpis2"/>
      <w:lvlText w:val="%1.%2"/>
      <w:lvlJc w:val="left"/>
      <w:pPr>
        <w:tabs>
          <w:tab w:val="num" w:pos="794"/>
        </w:tabs>
        <w:ind w:left="794" w:hanging="794"/>
      </w:pPr>
      <w:rPr>
        <w:rFonts w:hint="default"/>
      </w:rPr>
    </w:lvl>
    <w:lvl w:ilvl="2">
      <w:start w:val="1"/>
      <w:numFmt w:val="decimal"/>
      <w:pStyle w:val="F8-nadpis3"/>
      <w:lvlText w:val="%1.%2.%3"/>
      <w:lvlJc w:val="left"/>
      <w:pPr>
        <w:tabs>
          <w:tab w:val="num" w:pos="794"/>
        </w:tabs>
        <w:ind w:left="794" w:hanging="794"/>
      </w:pPr>
      <w:rPr>
        <w:rFonts w:hint="default"/>
      </w:rPr>
    </w:lvl>
    <w:lvl w:ilvl="3">
      <w:start w:val="1"/>
      <w:numFmt w:val="decimal"/>
      <w:pStyle w:val="F-nadpis4"/>
      <w:lvlText w:val="%1.%2.%3.%4"/>
      <w:lvlJc w:val="left"/>
      <w:pPr>
        <w:tabs>
          <w:tab w:val="num" w:pos="794"/>
        </w:tabs>
        <w:ind w:left="794" w:hanging="794"/>
      </w:pPr>
      <w:rPr>
        <w:rFonts w:hint="default"/>
      </w:rPr>
    </w:lvl>
    <w:lvl w:ilvl="4">
      <w:start w:val="1"/>
      <w:numFmt w:val="decimal"/>
      <w:pStyle w:val="Nadpis5"/>
      <w:lvlText w:val="%1.%2.%3.%4.%5"/>
      <w:lvlJc w:val="left"/>
      <w:pPr>
        <w:tabs>
          <w:tab w:val="num" w:pos="1008"/>
        </w:tabs>
        <w:ind w:left="1008" w:hanging="1008"/>
      </w:pPr>
      <w:rPr>
        <w:rFonts w:hint="default"/>
      </w:rPr>
    </w:lvl>
    <w:lvl w:ilvl="5">
      <w:start w:val="1"/>
      <w:numFmt w:val="decimal"/>
      <w:pStyle w:val="Nadpis6"/>
      <w:lvlText w:val="%1.%2.%3.%4.%5.%6"/>
      <w:lvlJc w:val="left"/>
      <w:pPr>
        <w:tabs>
          <w:tab w:val="num" w:pos="1152"/>
        </w:tabs>
        <w:ind w:left="1152" w:hanging="1152"/>
      </w:pPr>
      <w:rPr>
        <w:rFonts w:hint="default"/>
      </w:rPr>
    </w:lvl>
    <w:lvl w:ilvl="6">
      <w:start w:val="1"/>
      <w:numFmt w:val="decimal"/>
      <w:pStyle w:val="Nadpis7"/>
      <w:lvlText w:val="%1.%2.%3.%4.%5.%6.%7"/>
      <w:lvlJc w:val="left"/>
      <w:pPr>
        <w:tabs>
          <w:tab w:val="num" w:pos="1296"/>
        </w:tabs>
        <w:ind w:left="1296" w:hanging="1296"/>
      </w:pPr>
      <w:rPr>
        <w:rFonts w:hint="default"/>
      </w:rPr>
    </w:lvl>
    <w:lvl w:ilvl="7">
      <w:start w:val="1"/>
      <w:numFmt w:val="decimal"/>
      <w:pStyle w:val="Nadpis8"/>
      <w:lvlText w:val="%1.%2.%3.%4.%5.%6.%7.%8"/>
      <w:lvlJc w:val="left"/>
      <w:pPr>
        <w:tabs>
          <w:tab w:val="num" w:pos="1440"/>
        </w:tabs>
        <w:ind w:left="1440" w:hanging="1440"/>
      </w:pPr>
      <w:rPr>
        <w:rFonts w:hint="default"/>
      </w:rPr>
    </w:lvl>
    <w:lvl w:ilvl="8">
      <w:start w:val="1"/>
      <w:numFmt w:val="decimal"/>
      <w:pStyle w:val="Nadpis9"/>
      <w:lvlText w:val="%1.%2.%3.%4.%5.%6.%7.%8.%9"/>
      <w:lvlJc w:val="left"/>
      <w:pPr>
        <w:tabs>
          <w:tab w:val="num" w:pos="1584"/>
        </w:tabs>
        <w:ind w:left="1584" w:hanging="1584"/>
      </w:pPr>
      <w:rPr>
        <w:rFonts w:hint="default"/>
      </w:rPr>
    </w:lvl>
  </w:abstractNum>
  <w:abstractNum w:abstractNumId="17" w15:restartNumberingAfterBreak="0">
    <w:nsid w:val="28601A32"/>
    <w:multiLevelType w:val="multilevel"/>
    <w:tmpl w:val="92C4D32A"/>
    <w:lvl w:ilvl="0">
      <w:start w:val="1"/>
      <w:numFmt w:val="decimal"/>
      <w:lvlText w:val="%1"/>
      <w:lvlJc w:val="left"/>
      <w:pPr>
        <w:tabs>
          <w:tab w:val="num" w:pos="357"/>
        </w:tabs>
        <w:ind w:left="794" w:hanging="794"/>
      </w:pPr>
      <w:rPr>
        <w:rFonts w:hint="default"/>
      </w:rPr>
    </w:lvl>
    <w:lvl w:ilvl="1">
      <w:start w:val="1"/>
      <w:numFmt w:val="decimal"/>
      <w:pStyle w:val="Nadpis2"/>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2AD9061E"/>
    <w:multiLevelType w:val="multilevel"/>
    <w:tmpl w:val="1B6C611C"/>
    <w:lvl w:ilvl="0">
      <w:start w:val="1"/>
      <w:numFmt w:val="decimal"/>
      <w:lvlText w:val="%1"/>
      <w:lvlJc w:val="left"/>
      <w:pPr>
        <w:tabs>
          <w:tab w:val="num" w:pos="357"/>
        </w:tabs>
        <w:ind w:left="794" w:hanging="794"/>
      </w:pPr>
      <w:rPr>
        <w:rFonts w:hint="default"/>
      </w:rPr>
    </w:lvl>
    <w:lvl w:ilvl="1">
      <w:start w:val="1"/>
      <w:numFmt w:val="decimal"/>
      <w:lvlText w:val="%1.%2"/>
      <w:lvlJc w:val="left"/>
      <w:pPr>
        <w:tabs>
          <w:tab w:val="num" w:pos="357"/>
        </w:tabs>
        <w:ind w:left="794" w:hanging="794"/>
      </w:pPr>
      <w:rPr>
        <w:rFonts w:hint="default"/>
      </w:rPr>
    </w:lvl>
    <w:lvl w:ilvl="2">
      <w:start w:val="1"/>
      <w:numFmt w:val="decimal"/>
      <w:pStyle w:val="Nadpis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2AF70029"/>
    <w:multiLevelType w:val="multilevel"/>
    <w:tmpl w:val="BE3A2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07E08D3"/>
    <w:multiLevelType w:val="multilevel"/>
    <w:tmpl w:val="8E084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DC4CCB"/>
    <w:multiLevelType w:val="multilevel"/>
    <w:tmpl w:val="0405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709606D"/>
    <w:multiLevelType w:val="multilevel"/>
    <w:tmpl w:val="F5902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222545"/>
    <w:multiLevelType w:val="hybridMultilevel"/>
    <w:tmpl w:val="ED8A4644"/>
    <w:lvl w:ilvl="0" w:tplc="1C72B9EA">
      <w:numFmt w:val="bullet"/>
      <w:lvlText w:val=""/>
      <w:lvlJc w:val="left"/>
      <w:pPr>
        <w:ind w:left="720" w:hanging="360"/>
      </w:pPr>
      <w:rPr>
        <w:rFonts w:ascii="Symbol" w:eastAsia="MS Mincho" w:hAnsi="Symbo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5ADD1676"/>
    <w:multiLevelType w:val="multilevel"/>
    <w:tmpl w:val="648480A0"/>
    <w:lvl w:ilvl="0">
      <w:start w:val="1"/>
      <w:numFmt w:val="lowerLetter"/>
      <w:lvlRestart w:val="0"/>
      <w:pStyle w:val="F5-psmena"/>
      <w:lvlText w:val="%1)"/>
      <w:lvlJc w:val="left"/>
      <w:pPr>
        <w:tabs>
          <w:tab w:val="num" w:pos="794"/>
        </w:tabs>
        <w:ind w:left="794" w:hanging="454"/>
      </w:pPr>
      <w:rPr>
        <w:rFonts w:hint="default"/>
      </w:rPr>
    </w:lvl>
    <w:lvl w:ilvl="1">
      <w:start w:val="1"/>
      <w:numFmt w:val="decimal"/>
      <w:lvlText w:val="%1.%2"/>
      <w:lvlJc w:val="left"/>
      <w:pPr>
        <w:tabs>
          <w:tab w:val="num" w:pos="1685"/>
        </w:tabs>
        <w:ind w:left="1685" w:hanging="794"/>
      </w:pPr>
      <w:rPr>
        <w:rFonts w:hint="default"/>
      </w:rPr>
    </w:lvl>
    <w:lvl w:ilvl="2">
      <w:start w:val="1"/>
      <w:numFmt w:val="decimal"/>
      <w:lvlText w:val="%1.%2.%3"/>
      <w:lvlJc w:val="left"/>
      <w:pPr>
        <w:tabs>
          <w:tab w:val="num" w:pos="1685"/>
        </w:tabs>
        <w:ind w:left="1685" w:hanging="794"/>
      </w:pPr>
      <w:rPr>
        <w:rFonts w:hint="default"/>
      </w:rPr>
    </w:lvl>
    <w:lvl w:ilvl="3">
      <w:start w:val="1"/>
      <w:numFmt w:val="decimal"/>
      <w:lvlText w:val="%1.%2.%3.%4"/>
      <w:lvlJc w:val="left"/>
      <w:pPr>
        <w:tabs>
          <w:tab w:val="num" w:pos="1685"/>
        </w:tabs>
        <w:ind w:left="1685" w:hanging="794"/>
      </w:pPr>
      <w:rPr>
        <w:rFonts w:hint="default"/>
      </w:rPr>
    </w:lvl>
    <w:lvl w:ilvl="4">
      <w:start w:val="1"/>
      <w:numFmt w:val="decimal"/>
      <w:lvlText w:val="%1.%2.%3.%4.%5"/>
      <w:lvlJc w:val="left"/>
      <w:pPr>
        <w:tabs>
          <w:tab w:val="num" w:pos="1899"/>
        </w:tabs>
        <w:ind w:left="1899" w:hanging="1008"/>
      </w:pPr>
      <w:rPr>
        <w:rFonts w:hint="default"/>
      </w:rPr>
    </w:lvl>
    <w:lvl w:ilvl="5">
      <w:start w:val="1"/>
      <w:numFmt w:val="decimal"/>
      <w:lvlText w:val="%1.%2.%3.%4.%5.%6"/>
      <w:lvlJc w:val="left"/>
      <w:pPr>
        <w:tabs>
          <w:tab w:val="num" w:pos="2043"/>
        </w:tabs>
        <w:ind w:left="2043" w:hanging="1152"/>
      </w:pPr>
      <w:rPr>
        <w:rFonts w:hint="default"/>
      </w:rPr>
    </w:lvl>
    <w:lvl w:ilvl="6">
      <w:start w:val="1"/>
      <w:numFmt w:val="decimal"/>
      <w:lvlText w:val="%1.%2.%3.%4.%5.%6.%7"/>
      <w:lvlJc w:val="left"/>
      <w:pPr>
        <w:tabs>
          <w:tab w:val="num" w:pos="2187"/>
        </w:tabs>
        <w:ind w:left="2187" w:hanging="1296"/>
      </w:pPr>
      <w:rPr>
        <w:rFonts w:hint="default"/>
      </w:rPr>
    </w:lvl>
    <w:lvl w:ilvl="7">
      <w:start w:val="1"/>
      <w:numFmt w:val="decimal"/>
      <w:lvlText w:val="%1.%2.%3.%4.%5.%6.%7.%8"/>
      <w:lvlJc w:val="left"/>
      <w:pPr>
        <w:tabs>
          <w:tab w:val="num" w:pos="2331"/>
        </w:tabs>
        <w:ind w:left="2331" w:hanging="1440"/>
      </w:pPr>
      <w:rPr>
        <w:rFonts w:hint="default"/>
      </w:rPr>
    </w:lvl>
    <w:lvl w:ilvl="8">
      <w:start w:val="1"/>
      <w:numFmt w:val="decimal"/>
      <w:lvlText w:val="%1.%2.%3.%4.%5.%6.%7.%8.%9"/>
      <w:lvlJc w:val="left"/>
      <w:pPr>
        <w:tabs>
          <w:tab w:val="num" w:pos="2475"/>
        </w:tabs>
        <w:ind w:left="2475" w:hanging="1584"/>
      </w:pPr>
      <w:rPr>
        <w:rFonts w:hint="default"/>
      </w:rPr>
    </w:lvl>
  </w:abstractNum>
  <w:abstractNum w:abstractNumId="25" w15:restartNumberingAfterBreak="0">
    <w:nsid w:val="5FC015B7"/>
    <w:multiLevelType w:val="hybridMultilevel"/>
    <w:tmpl w:val="D40EC4D8"/>
    <w:lvl w:ilvl="0" w:tplc="437E8B58">
      <w:start w:val="1"/>
      <w:numFmt w:val="none"/>
      <w:pStyle w:val="F7-chyba"/>
      <w:lvlText w:val="!! CHYBA !!"/>
      <w:lvlJc w:val="left"/>
      <w:pPr>
        <w:tabs>
          <w:tab w:val="num" w:pos="0"/>
        </w:tabs>
        <w:ind w:left="0" w:firstLine="0"/>
      </w:pPr>
      <w:rPr>
        <w:rFonts w:hint="default"/>
        <w:b/>
        <w:i w:val="0"/>
        <w:color w:val="FF0000"/>
      </w:rPr>
    </w:lvl>
    <w:lvl w:ilvl="1" w:tplc="3B36E4D8">
      <w:start w:val="1"/>
      <w:numFmt w:val="lowerLetter"/>
      <w:lvlText w:val="%2."/>
      <w:lvlJc w:val="left"/>
      <w:pPr>
        <w:tabs>
          <w:tab w:val="num" w:pos="1440"/>
        </w:tabs>
        <w:ind w:left="1440" w:hanging="360"/>
      </w:pPr>
    </w:lvl>
    <w:lvl w:ilvl="2" w:tplc="D2E08EDC" w:tentative="1">
      <w:start w:val="1"/>
      <w:numFmt w:val="lowerRoman"/>
      <w:lvlText w:val="%3."/>
      <w:lvlJc w:val="right"/>
      <w:pPr>
        <w:tabs>
          <w:tab w:val="num" w:pos="2160"/>
        </w:tabs>
        <w:ind w:left="2160" w:hanging="180"/>
      </w:pPr>
    </w:lvl>
    <w:lvl w:ilvl="3" w:tplc="314A3922" w:tentative="1">
      <w:start w:val="1"/>
      <w:numFmt w:val="decimal"/>
      <w:lvlText w:val="%4."/>
      <w:lvlJc w:val="left"/>
      <w:pPr>
        <w:tabs>
          <w:tab w:val="num" w:pos="2880"/>
        </w:tabs>
        <w:ind w:left="2880" w:hanging="360"/>
      </w:pPr>
    </w:lvl>
    <w:lvl w:ilvl="4" w:tplc="2B16551A" w:tentative="1">
      <w:start w:val="1"/>
      <w:numFmt w:val="lowerLetter"/>
      <w:lvlText w:val="%5."/>
      <w:lvlJc w:val="left"/>
      <w:pPr>
        <w:tabs>
          <w:tab w:val="num" w:pos="3600"/>
        </w:tabs>
        <w:ind w:left="3600" w:hanging="360"/>
      </w:pPr>
    </w:lvl>
    <w:lvl w:ilvl="5" w:tplc="2A160830" w:tentative="1">
      <w:start w:val="1"/>
      <w:numFmt w:val="lowerRoman"/>
      <w:lvlText w:val="%6."/>
      <w:lvlJc w:val="right"/>
      <w:pPr>
        <w:tabs>
          <w:tab w:val="num" w:pos="4320"/>
        </w:tabs>
        <w:ind w:left="4320" w:hanging="180"/>
      </w:pPr>
    </w:lvl>
    <w:lvl w:ilvl="6" w:tplc="5976691A" w:tentative="1">
      <w:start w:val="1"/>
      <w:numFmt w:val="decimal"/>
      <w:lvlText w:val="%7."/>
      <w:lvlJc w:val="left"/>
      <w:pPr>
        <w:tabs>
          <w:tab w:val="num" w:pos="5040"/>
        </w:tabs>
        <w:ind w:left="5040" w:hanging="360"/>
      </w:pPr>
    </w:lvl>
    <w:lvl w:ilvl="7" w:tplc="99CCCA8C" w:tentative="1">
      <w:start w:val="1"/>
      <w:numFmt w:val="lowerLetter"/>
      <w:lvlText w:val="%8."/>
      <w:lvlJc w:val="left"/>
      <w:pPr>
        <w:tabs>
          <w:tab w:val="num" w:pos="5760"/>
        </w:tabs>
        <w:ind w:left="5760" w:hanging="360"/>
      </w:pPr>
    </w:lvl>
    <w:lvl w:ilvl="8" w:tplc="19CE6564" w:tentative="1">
      <w:start w:val="1"/>
      <w:numFmt w:val="lowerRoman"/>
      <w:lvlText w:val="%9."/>
      <w:lvlJc w:val="right"/>
      <w:pPr>
        <w:tabs>
          <w:tab w:val="num" w:pos="6480"/>
        </w:tabs>
        <w:ind w:left="6480" w:hanging="180"/>
      </w:pPr>
    </w:lvl>
  </w:abstractNum>
  <w:abstractNum w:abstractNumId="26" w15:restartNumberingAfterBreak="0">
    <w:nsid w:val="6DB342B1"/>
    <w:multiLevelType w:val="multilevel"/>
    <w:tmpl w:val="0405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7" w15:restartNumberingAfterBreak="0">
    <w:nsid w:val="727C451C"/>
    <w:multiLevelType w:val="multilevel"/>
    <w:tmpl w:val="1098E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B67FC8"/>
    <w:multiLevelType w:val="multilevel"/>
    <w:tmpl w:val="D4AC7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3943B4B"/>
    <w:multiLevelType w:val="multilevel"/>
    <w:tmpl w:val="FB126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3CF1294"/>
    <w:multiLevelType w:val="hybridMultilevel"/>
    <w:tmpl w:val="49B06666"/>
    <w:lvl w:ilvl="0" w:tplc="B7F0E5A6">
      <w:start w:val="1"/>
      <w:numFmt w:val="upperLetter"/>
      <w:pStyle w:val="F11-hlavnkapitola"/>
      <w:lvlText w:val="%1."/>
      <w:lvlJc w:val="left"/>
      <w:pPr>
        <w:tabs>
          <w:tab w:val="num" w:pos="794"/>
        </w:tabs>
        <w:ind w:left="794" w:hanging="794"/>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1" w15:restartNumberingAfterBreak="0">
    <w:nsid w:val="79BD2D61"/>
    <w:multiLevelType w:val="multilevel"/>
    <w:tmpl w:val="4EACA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7484830">
    <w:abstractNumId w:val="13"/>
  </w:num>
  <w:num w:numId="2" w16cid:durableId="1895313556">
    <w:abstractNumId w:val="25"/>
  </w:num>
  <w:num w:numId="3" w16cid:durableId="1213884590">
    <w:abstractNumId w:val="30"/>
  </w:num>
  <w:num w:numId="4" w16cid:durableId="249312893">
    <w:abstractNumId w:val="17"/>
  </w:num>
  <w:num w:numId="5" w16cid:durableId="315694586">
    <w:abstractNumId w:val="18"/>
  </w:num>
  <w:num w:numId="6" w16cid:durableId="108403674">
    <w:abstractNumId w:val="16"/>
  </w:num>
  <w:num w:numId="7" w16cid:durableId="604575006">
    <w:abstractNumId w:val="26"/>
  </w:num>
  <w:num w:numId="8" w16cid:durableId="2105804766">
    <w:abstractNumId w:val="21"/>
  </w:num>
  <w:num w:numId="9" w16cid:durableId="1101728839">
    <w:abstractNumId w:val="8"/>
  </w:num>
  <w:num w:numId="10" w16cid:durableId="147525618">
    <w:abstractNumId w:val="3"/>
  </w:num>
  <w:num w:numId="11" w16cid:durableId="1192184680">
    <w:abstractNumId w:val="2"/>
  </w:num>
  <w:num w:numId="12" w16cid:durableId="182088894">
    <w:abstractNumId w:val="1"/>
  </w:num>
  <w:num w:numId="13" w16cid:durableId="141392017">
    <w:abstractNumId w:val="0"/>
  </w:num>
  <w:num w:numId="14" w16cid:durableId="1168059388">
    <w:abstractNumId w:val="10"/>
  </w:num>
  <w:num w:numId="15" w16cid:durableId="1611010598">
    <w:abstractNumId w:val="9"/>
  </w:num>
  <w:num w:numId="16" w16cid:durableId="37248296">
    <w:abstractNumId w:val="7"/>
  </w:num>
  <w:num w:numId="17" w16cid:durableId="154491525">
    <w:abstractNumId w:val="6"/>
  </w:num>
  <w:num w:numId="18" w16cid:durableId="979844708">
    <w:abstractNumId w:val="5"/>
  </w:num>
  <w:num w:numId="19" w16cid:durableId="1197698942">
    <w:abstractNumId w:val="4"/>
  </w:num>
  <w:num w:numId="20" w16cid:durableId="567231113">
    <w:abstractNumId w:val="12"/>
  </w:num>
  <w:num w:numId="21" w16cid:durableId="1864786788">
    <w:abstractNumId w:val="24"/>
  </w:num>
  <w:num w:numId="22" w16cid:durableId="907761201">
    <w:abstractNumId w:val="11"/>
  </w:num>
  <w:num w:numId="23" w16cid:durableId="801576823">
    <w:abstractNumId w:val="20"/>
  </w:num>
  <w:num w:numId="24" w16cid:durableId="2076659369">
    <w:abstractNumId w:val="29"/>
  </w:num>
  <w:num w:numId="25" w16cid:durableId="1775054384">
    <w:abstractNumId w:val="27"/>
  </w:num>
  <w:num w:numId="26" w16cid:durableId="1232540532">
    <w:abstractNumId w:val="19"/>
  </w:num>
  <w:num w:numId="27" w16cid:durableId="511141412">
    <w:abstractNumId w:val="28"/>
  </w:num>
  <w:num w:numId="28" w16cid:durableId="1711955166">
    <w:abstractNumId w:val="15"/>
  </w:num>
  <w:num w:numId="29" w16cid:durableId="1835804198">
    <w:abstractNumId w:val="22"/>
  </w:num>
  <w:num w:numId="30" w16cid:durableId="1394699451">
    <w:abstractNumId w:val="14"/>
  </w:num>
  <w:num w:numId="31" w16cid:durableId="821198362">
    <w:abstractNumId w:val="31"/>
  </w:num>
  <w:num w:numId="32" w16cid:durableId="1810130907">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0804" w:allStyles="0" w:customStyles="0" w:latentStyles="1" w:stylesInUse="0" w:headingStyles="0" w:numberingStyles="0" w:tableStyles="0" w:directFormattingOnRuns="0" w:directFormattingOnParagraphs="0" w:directFormattingOnNumbering="0" w:directFormattingOnTables="1" w:clearFormatting="0" w:top3HeadingStyles="0"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CC6"/>
    <w:rsid w:val="00001A0D"/>
    <w:rsid w:val="000029A3"/>
    <w:rsid w:val="0000353E"/>
    <w:rsid w:val="0000425F"/>
    <w:rsid w:val="000051B3"/>
    <w:rsid w:val="00005C47"/>
    <w:rsid w:val="000064D6"/>
    <w:rsid w:val="00006E35"/>
    <w:rsid w:val="00010703"/>
    <w:rsid w:val="00011573"/>
    <w:rsid w:val="00011BEC"/>
    <w:rsid w:val="00013232"/>
    <w:rsid w:val="00016492"/>
    <w:rsid w:val="00017E0A"/>
    <w:rsid w:val="00020F03"/>
    <w:rsid w:val="00021D97"/>
    <w:rsid w:val="0002277D"/>
    <w:rsid w:val="000237A9"/>
    <w:rsid w:val="00026B23"/>
    <w:rsid w:val="00026F85"/>
    <w:rsid w:val="000326E4"/>
    <w:rsid w:val="0003273E"/>
    <w:rsid w:val="00032CD3"/>
    <w:rsid w:val="00033378"/>
    <w:rsid w:val="000348FD"/>
    <w:rsid w:val="0003583E"/>
    <w:rsid w:val="00035DD6"/>
    <w:rsid w:val="000363FF"/>
    <w:rsid w:val="000378F9"/>
    <w:rsid w:val="00040650"/>
    <w:rsid w:val="00040CE8"/>
    <w:rsid w:val="00040DEC"/>
    <w:rsid w:val="00041B2D"/>
    <w:rsid w:val="00043963"/>
    <w:rsid w:val="000452CD"/>
    <w:rsid w:val="00045D38"/>
    <w:rsid w:val="00047030"/>
    <w:rsid w:val="00047888"/>
    <w:rsid w:val="00047D97"/>
    <w:rsid w:val="00047F54"/>
    <w:rsid w:val="000502C0"/>
    <w:rsid w:val="00050575"/>
    <w:rsid w:val="00052178"/>
    <w:rsid w:val="0005404F"/>
    <w:rsid w:val="00054FEF"/>
    <w:rsid w:val="000564A3"/>
    <w:rsid w:val="00061775"/>
    <w:rsid w:val="00062BEA"/>
    <w:rsid w:val="00063F4E"/>
    <w:rsid w:val="00065B2F"/>
    <w:rsid w:val="000667E6"/>
    <w:rsid w:val="000672E3"/>
    <w:rsid w:val="000702F0"/>
    <w:rsid w:val="0007034E"/>
    <w:rsid w:val="0007090F"/>
    <w:rsid w:val="00070C89"/>
    <w:rsid w:val="00071169"/>
    <w:rsid w:val="0007145D"/>
    <w:rsid w:val="00073A88"/>
    <w:rsid w:val="00073CAB"/>
    <w:rsid w:val="00073D6F"/>
    <w:rsid w:val="000755DF"/>
    <w:rsid w:val="000763EB"/>
    <w:rsid w:val="000766BF"/>
    <w:rsid w:val="0007674D"/>
    <w:rsid w:val="000767DF"/>
    <w:rsid w:val="00076A25"/>
    <w:rsid w:val="00076A2B"/>
    <w:rsid w:val="00080750"/>
    <w:rsid w:val="00080A22"/>
    <w:rsid w:val="00081DCE"/>
    <w:rsid w:val="00084075"/>
    <w:rsid w:val="00084996"/>
    <w:rsid w:val="00091210"/>
    <w:rsid w:val="00092137"/>
    <w:rsid w:val="000923E4"/>
    <w:rsid w:val="00093200"/>
    <w:rsid w:val="00093C6A"/>
    <w:rsid w:val="00093E98"/>
    <w:rsid w:val="000940D0"/>
    <w:rsid w:val="000A0176"/>
    <w:rsid w:val="000A06A7"/>
    <w:rsid w:val="000A20E5"/>
    <w:rsid w:val="000A2833"/>
    <w:rsid w:val="000A2D6F"/>
    <w:rsid w:val="000A3FFF"/>
    <w:rsid w:val="000A572D"/>
    <w:rsid w:val="000A5FDF"/>
    <w:rsid w:val="000A6560"/>
    <w:rsid w:val="000A73CB"/>
    <w:rsid w:val="000A755E"/>
    <w:rsid w:val="000A7729"/>
    <w:rsid w:val="000B0FBB"/>
    <w:rsid w:val="000B18F3"/>
    <w:rsid w:val="000B2222"/>
    <w:rsid w:val="000B2426"/>
    <w:rsid w:val="000B39A5"/>
    <w:rsid w:val="000B51E9"/>
    <w:rsid w:val="000B579C"/>
    <w:rsid w:val="000B57A2"/>
    <w:rsid w:val="000B5A2B"/>
    <w:rsid w:val="000B7BA4"/>
    <w:rsid w:val="000C0E0E"/>
    <w:rsid w:val="000C17C8"/>
    <w:rsid w:val="000C34DC"/>
    <w:rsid w:val="000C4D6D"/>
    <w:rsid w:val="000C5471"/>
    <w:rsid w:val="000C727D"/>
    <w:rsid w:val="000C772F"/>
    <w:rsid w:val="000D25CC"/>
    <w:rsid w:val="000D3C66"/>
    <w:rsid w:val="000D4381"/>
    <w:rsid w:val="000D5282"/>
    <w:rsid w:val="000D580F"/>
    <w:rsid w:val="000D7359"/>
    <w:rsid w:val="000E0C24"/>
    <w:rsid w:val="000E2910"/>
    <w:rsid w:val="000E3678"/>
    <w:rsid w:val="000E3D98"/>
    <w:rsid w:val="000E41E3"/>
    <w:rsid w:val="000E42A1"/>
    <w:rsid w:val="000E42FF"/>
    <w:rsid w:val="000E4ADE"/>
    <w:rsid w:val="000E5D25"/>
    <w:rsid w:val="000E6925"/>
    <w:rsid w:val="000E7127"/>
    <w:rsid w:val="000E7418"/>
    <w:rsid w:val="000F02A2"/>
    <w:rsid w:val="000F0587"/>
    <w:rsid w:val="000F17F3"/>
    <w:rsid w:val="000F1AE6"/>
    <w:rsid w:val="000F2443"/>
    <w:rsid w:val="000F274E"/>
    <w:rsid w:val="000F27E1"/>
    <w:rsid w:val="000F330C"/>
    <w:rsid w:val="000F4953"/>
    <w:rsid w:val="000F5A28"/>
    <w:rsid w:val="000F5BBC"/>
    <w:rsid w:val="000F687B"/>
    <w:rsid w:val="000F75AD"/>
    <w:rsid w:val="000F75F1"/>
    <w:rsid w:val="000F7C86"/>
    <w:rsid w:val="0010078F"/>
    <w:rsid w:val="00102DF4"/>
    <w:rsid w:val="00103F2D"/>
    <w:rsid w:val="001108B4"/>
    <w:rsid w:val="00111B20"/>
    <w:rsid w:val="00112C69"/>
    <w:rsid w:val="00112D51"/>
    <w:rsid w:val="00113408"/>
    <w:rsid w:val="00113C5A"/>
    <w:rsid w:val="00113E5E"/>
    <w:rsid w:val="0011458C"/>
    <w:rsid w:val="00114722"/>
    <w:rsid w:val="001169F2"/>
    <w:rsid w:val="00117D27"/>
    <w:rsid w:val="0012091C"/>
    <w:rsid w:val="001211C9"/>
    <w:rsid w:val="00121FAB"/>
    <w:rsid w:val="0012308F"/>
    <w:rsid w:val="00126B10"/>
    <w:rsid w:val="00127396"/>
    <w:rsid w:val="00127ED9"/>
    <w:rsid w:val="00130E22"/>
    <w:rsid w:val="00131B94"/>
    <w:rsid w:val="00131E29"/>
    <w:rsid w:val="00134A55"/>
    <w:rsid w:val="00137FDE"/>
    <w:rsid w:val="00140F96"/>
    <w:rsid w:val="00141CF1"/>
    <w:rsid w:val="0014277E"/>
    <w:rsid w:val="0014300F"/>
    <w:rsid w:val="001443DF"/>
    <w:rsid w:val="001444EC"/>
    <w:rsid w:val="00145F9D"/>
    <w:rsid w:val="001462C0"/>
    <w:rsid w:val="00146942"/>
    <w:rsid w:val="00146BBC"/>
    <w:rsid w:val="001511F4"/>
    <w:rsid w:val="001522B5"/>
    <w:rsid w:val="00153D75"/>
    <w:rsid w:val="00153FD1"/>
    <w:rsid w:val="00154229"/>
    <w:rsid w:val="00154C56"/>
    <w:rsid w:val="00154D3A"/>
    <w:rsid w:val="001555FC"/>
    <w:rsid w:val="0015633B"/>
    <w:rsid w:val="00160EB2"/>
    <w:rsid w:val="00161993"/>
    <w:rsid w:val="001628BC"/>
    <w:rsid w:val="0016361E"/>
    <w:rsid w:val="00165789"/>
    <w:rsid w:val="0016695F"/>
    <w:rsid w:val="00170309"/>
    <w:rsid w:val="00170DE1"/>
    <w:rsid w:val="001715D9"/>
    <w:rsid w:val="00172511"/>
    <w:rsid w:val="00172F1C"/>
    <w:rsid w:val="0017506A"/>
    <w:rsid w:val="00175577"/>
    <w:rsid w:val="00177E1C"/>
    <w:rsid w:val="00177E5E"/>
    <w:rsid w:val="0018406F"/>
    <w:rsid w:val="00184F14"/>
    <w:rsid w:val="0018525E"/>
    <w:rsid w:val="0018729B"/>
    <w:rsid w:val="0018797C"/>
    <w:rsid w:val="00191AE8"/>
    <w:rsid w:val="00193268"/>
    <w:rsid w:val="00193655"/>
    <w:rsid w:val="00193CC3"/>
    <w:rsid w:val="0019405D"/>
    <w:rsid w:val="00194285"/>
    <w:rsid w:val="00194945"/>
    <w:rsid w:val="001949DC"/>
    <w:rsid w:val="001956CF"/>
    <w:rsid w:val="001970D7"/>
    <w:rsid w:val="00197E01"/>
    <w:rsid w:val="001A085A"/>
    <w:rsid w:val="001A0CB6"/>
    <w:rsid w:val="001A1B9B"/>
    <w:rsid w:val="001A3CA7"/>
    <w:rsid w:val="001A4AA9"/>
    <w:rsid w:val="001A68C4"/>
    <w:rsid w:val="001A6B3C"/>
    <w:rsid w:val="001A6ED5"/>
    <w:rsid w:val="001A74F2"/>
    <w:rsid w:val="001A7D5A"/>
    <w:rsid w:val="001A7DE3"/>
    <w:rsid w:val="001A7E89"/>
    <w:rsid w:val="001B0302"/>
    <w:rsid w:val="001B05F4"/>
    <w:rsid w:val="001B19BC"/>
    <w:rsid w:val="001B1BBD"/>
    <w:rsid w:val="001B23C8"/>
    <w:rsid w:val="001B2BE9"/>
    <w:rsid w:val="001B306F"/>
    <w:rsid w:val="001B353C"/>
    <w:rsid w:val="001B4878"/>
    <w:rsid w:val="001B489F"/>
    <w:rsid w:val="001B69B7"/>
    <w:rsid w:val="001B7A52"/>
    <w:rsid w:val="001C02E6"/>
    <w:rsid w:val="001C21DF"/>
    <w:rsid w:val="001C233E"/>
    <w:rsid w:val="001C292D"/>
    <w:rsid w:val="001C3FA2"/>
    <w:rsid w:val="001C4F9E"/>
    <w:rsid w:val="001C5A91"/>
    <w:rsid w:val="001C5D0C"/>
    <w:rsid w:val="001C5DB0"/>
    <w:rsid w:val="001C6F31"/>
    <w:rsid w:val="001D032B"/>
    <w:rsid w:val="001D0D99"/>
    <w:rsid w:val="001D1225"/>
    <w:rsid w:val="001D1343"/>
    <w:rsid w:val="001D441A"/>
    <w:rsid w:val="001D4B56"/>
    <w:rsid w:val="001D4CF8"/>
    <w:rsid w:val="001D5163"/>
    <w:rsid w:val="001D6D5D"/>
    <w:rsid w:val="001D7A7E"/>
    <w:rsid w:val="001E1A41"/>
    <w:rsid w:val="001E2936"/>
    <w:rsid w:val="001E2B0D"/>
    <w:rsid w:val="001E476B"/>
    <w:rsid w:val="001E507C"/>
    <w:rsid w:val="001E53EB"/>
    <w:rsid w:val="001E57AB"/>
    <w:rsid w:val="001E67FF"/>
    <w:rsid w:val="001E6913"/>
    <w:rsid w:val="001E6C4F"/>
    <w:rsid w:val="001F1241"/>
    <w:rsid w:val="001F1A22"/>
    <w:rsid w:val="001F1ACC"/>
    <w:rsid w:val="001F297A"/>
    <w:rsid w:val="001F2C9A"/>
    <w:rsid w:val="001F4B06"/>
    <w:rsid w:val="001F5BD4"/>
    <w:rsid w:val="001F627F"/>
    <w:rsid w:val="001F65C1"/>
    <w:rsid w:val="002006D5"/>
    <w:rsid w:val="00201CD7"/>
    <w:rsid w:val="002027ED"/>
    <w:rsid w:val="00202F64"/>
    <w:rsid w:val="00203977"/>
    <w:rsid w:val="00206A7F"/>
    <w:rsid w:val="00206A9C"/>
    <w:rsid w:val="00210DA8"/>
    <w:rsid w:val="00210EEA"/>
    <w:rsid w:val="002127C7"/>
    <w:rsid w:val="00212B9E"/>
    <w:rsid w:val="00212DDA"/>
    <w:rsid w:val="002147C4"/>
    <w:rsid w:val="00216EFA"/>
    <w:rsid w:val="0021765E"/>
    <w:rsid w:val="0021778F"/>
    <w:rsid w:val="00221643"/>
    <w:rsid w:val="00221EE4"/>
    <w:rsid w:val="002237EC"/>
    <w:rsid w:val="002241EE"/>
    <w:rsid w:val="00224347"/>
    <w:rsid w:val="00224EAE"/>
    <w:rsid w:val="00225670"/>
    <w:rsid w:val="002268F9"/>
    <w:rsid w:val="00226D28"/>
    <w:rsid w:val="00227323"/>
    <w:rsid w:val="002273F8"/>
    <w:rsid w:val="00230204"/>
    <w:rsid w:val="0023028F"/>
    <w:rsid w:val="00230A3C"/>
    <w:rsid w:val="00230B88"/>
    <w:rsid w:val="00231842"/>
    <w:rsid w:val="00231C56"/>
    <w:rsid w:val="00231E15"/>
    <w:rsid w:val="002325C8"/>
    <w:rsid w:val="00232D93"/>
    <w:rsid w:val="00233450"/>
    <w:rsid w:val="00235E9D"/>
    <w:rsid w:val="00236025"/>
    <w:rsid w:val="0023608B"/>
    <w:rsid w:val="00236922"/>
    <w:rsid w:val="00236A18"/>
    <w:rsid w:val="00236C7C"/>
    <w:rsid w:val="00236FC4"/>
    <w:rsid w:val="00237B59"/>
    <w:rsid w:val="00240FEC"/>
    <w:rsid w:val="0024226C"/>
    <w:rsid w:val="002423A0"/>
    <w:rsid w:val="002438EA"/>
    <w:rsid w:val="00243DCC"/>
    <w:rsid w:val="00243F5F"/>
    <w:rsid w:val="00245331"/>
    <w:rsid w:val="00245CA0"/>
    <w:rsid w:val="00246476"/>
    <w:rsid w:val="0024760D"/>
    <w:rsid w:val="002476C8"/>
    <w:rsid w:val="00252816"/>
    <w:rsid w:val="00252C08"/>
    <w:rsid w:val="0025356A"/>
    <w:rsid w:val="002548DB"/>
    <w:rsid w:val="00255335"/>
    <w:rsid w:val="00255E9C"/>
    <w:rsid w:val="00255F84"/>
    <w:rsid w:val="00256118"/>
    <w:rsid w:val="0025641E"/>
    <w:rsid w:val="00256692"/>
    <w:rsid w:val="00257859"/>
    <w:rsid w:val="00262023"/>
    <w:rsid w:val="00262CDC"/>
    <w:rsid w:val="0026336D"/>
    <w:rsid w:val="00263B67"/>
    <w:rsid w:val="002659D6"/>
    <w:rsid w:val="00266BB2"/>
    <w:rsid w:val="00267F47"/>
    <w:rsid w:val="0027138C"/>
    <w:rsid w:val="0027263C"/>
    <w:rsid w:val="002746C8"/>
    <w:rsid w:val="002749F1"/>
    <w:rsid w:val="00274B2A"/>
    <w:rsid w:val="00276830"/>
    <w:rsid w:val="002772D7"/>
    <w:rsid w:val="002772EA"/>
    <w:rsid w:val="00277457"/>
    <w:rsid w:val="002804AB"/>
    <w:rsid w:val="0028058D"/>
    <w:rsid w:val="0028110E"/>
    <w:rsid w:val="0028168C"/>
    <w:rsid w:val="00281857"/>
    <w:rsid w:val="00282531"/>
    <w:rsid w:val="00283492"/>
    <w:rsid w:val="00283AE5"/>
    <w:rsid w:val="00283F1B"/>
    <w:rsid w:val="00284C66"/>
    <w:rsid w:val="0029073F"/>
    <w:rsid w:val="00291676"/>
    <w:rsid w:val="00291E39"/>
    <w:rsid w:val="0029280B"/>
    <w:rsid w:val="00292C1D"/>
    <w:rsid w:val="00292EC0"/>
    <w:rsid w:val="00293679"/>
    <w:rsid w:val="00293BA3"/>
    <w:rsid w:val="00294A46"/>
    <w:rsid w:val="00296721"/>
    <w:rsid w:val="00296E4C"/>
    <w:rsid w:val="00296EFF"/>
    <w:rsid w:val="00297239"/>
    <w:rsid w:val="00297927"/>
    <w:rsid w:val="00297E46"/>
    <w:rsid w:val="002A0553"/>
    <w:rsid w:val="002A0933"/>
    <w:rsid w:val="002A2D40"/>
    <w:rsid w:val="002A3111"/>
    <w:rsid w:val="002A374D"/>
    <w:rsid w:val="002A3C7D"/>
    <w:rsid w:val="002A44A9"/>
    <w:rsid w:val="002A4D2E"/>
    <w:rsid w:val="002B0AF2"/>
    <w:rsid w:val="002B0AFD"/>
    <w:rsid w:val="002B0B15"/>
    <w:rsid w:val="002B14B5"/>
    <w:rsid w:val="002B2991"/>
    <w:rsid w:val="002B3C38"/>
    <w:rsid w:val="002B4A3F"/>
    <w:rsid w:val="002B5380"/>
    <w:rsid w:val="002B5926"/>
    <w:rsid w:val="002B5C76"/>
    <w:rsid w:val="002B6FCD"/>
    <w:rsid w:val="002B72A2"/>
    <w:rsid w:val="002B7380"/>
    <w:rsid w:val="002B78D0"/>
    <w:rsid w:val="002B7901"/>
    <w:rsid w:val="002C1698"/>
    <w:rsid w:val="002C1FC2"/>
    <w:rsid w:val="002C2049"/>
    <w:rsid w:val="002C3975"/>
    <w:rsid w:val="002C4E32"/>
    <w:rsid w:val="002C50AC"/>
    <w:rsid w:val="002C5176"/>
    <w:rsid w:val="002C51AD"/>
    <w:rsid w:val="002C577F"/>
    <w:rsid w:val="002C5928"/>
    <w:rsid w:val="002C6682"/>
    <w:rsid w:val="002C7913"/>
    <w:rsid w:val="002D0CC4"/>
    <w:rsid w:val="002D0CD4"/>
    <w:rsid w:val="002D11C7"/>
    <w:rsid w:val="002D22C6"/>
    <w:rsid w:val="002D28A9"/>
    <w:rsid w:val="002D6A75"/>
    <w:rsid w:val="002D7CBC"/>
    <w:rsid w:val="002E1D29"/>
    <w:rsid w:val="002E3325"/>
    <w:rsid w:val="002E497E"/>
    <w:rsid w:val="002E754C"/>
    <w:rsid w:val="002E76D1"/>
    <w:rsid w:val="002F0500"/>
    <w:rsid w:val="002F1160"/>
    <w:rsid w:val="002F3918"/>
    <w:rsid w:val="002F3B85"/>
    <w:rsid w:val="002F4BF6"/>
    <w:rsid w:val="002F5491"/>
    <w:rsid w:val="002F7A8F"/>
    <w:rsid w:val="00301671"/>
    <w:rsid w:val="00301881"/>
    <w:rsid w:val="0030211F"/>
    <w:rsid w:val="00302961"/>
    <w:rsid w:val="00302CD0"/>
    <w:rsid w:val="00303102"/>
    <w:rsid w:val="00304242"/>
    <w:rsid w:val="00307253"/>
    <w:rsid w:val="0030766B"/>
    <w:rsid w:val="003078EB"/>
    <w:rsid w:val="00307E7E"/>
    <w:rsid w:val="003104E7"/>
    <w:rsid w:val="00310E2F"/>
    <w:rsid w:val="003114D0"/>
    <w:rsid w:val="00311AE0"/>
    <w:rsid w:val="00311D2E"/>
    <w:rsid w:val="0031400E"/>
    <w:rsid w:val="003172DF"/>
    <w:rsid w:val="003177AF"/>
    <w:rsid w:val="00317BF7"/>
    <w:rsid w:val="00320015"/>
    <w:rsid w:val="00321602"/>
    <w:rsid w:val="00321AE8"/>
    <w:rsid w:val="00322445"/>
    <w:rsid w:val="00322CF1"/>
    <w:rsid w:val="003236C9"/>
    <w:rsid w:val="00324545"/>
    <w:rsid w:val="0032573A"/>
    <w:rsid w:val="00327439"/>
    <w:rsid w:val="003274DC"/>
    <w:rsid w:val="00327F8D"/>
    <w:rsid w:val="00327F8E"/>
    <w:rsid w:val="003301F8"/>
    <w:rsid w:val="00330746"/>
    <w:rsid w:val="00331400"/>
    <w:rsid w:val="0033156B"/>
    <w:rsid w:val="003322D8"/>
    <w:rsid w:val="003337EA"/>
    <w:rsid w:val="00333885"/>
    <w:rsid w:val="003343C4"/>
    <w:rsid w:val="00334497"/>
    <w:rsid w:val="00340CA2"/>
    <w:rsid w:val="00341086"/>
    <w:rsid w:val="00341E98"/>
    <w:rsid w:val="00343136"/>
    <w:rsid w:val="00343CFF"/>
    <w:rsid w:val="00344296"/>
    <w:rsid w:val="00346522"/>
    <w:rsid w:val="00347B43"/>
    <w:rsid w:val="0035034F"/>
    <w:rsid w:val="00351441"/>
    <w:rsid w:val="003524F1"/>
    <w:rsid w:val="00352768"/>
    <w:rsid w:val="00352E92"/>
    <w:rsid w:val="00352F7A"/>
    <w:rsid w:val="00356DCD"/>
    <w:rsid w:val="0036129D"/>
    <w:rsid w:val="00362096"/>
    <w:rsid w:val="0036311C"/>
    <w:rsid w:val="00364312"/>
    <w:rsid w:val="00364C9F"/>
    <w:rsid w:val="00366ABC"/>
    <w:rsid w:val="00370EB8"/>
    <w:rsid w:val="00371045"/>
    <w:rsid w:val="00371B42"/>
    <w:rsid w:val="00371CF8"/>
    <w:rsid w:val="00372ACE"/>
    <w:rsid w:val="00372D58"/>
    <w:rsid w:val="003731A5"/>
    <w:rsid w:val="003736DA"/>
    <w:rsid w:val="00373731"/>
    <w:rsid w:val="00374CFA"/>
    <w:rsid w:val="003751F0"/>
    <w:rsid w:val="00375524"/>
    <w:rsid w:val="0037564F"/>
    <w:rsid w:val="003761BB"/>
    <w:rsid w:val="00381E63"/>
    <w:rsid w:val="00382A16"/>
    <w:rsid w:val="00383735"/>
    <w:rsid w:val="00383E57"/>
    <w:rsid w:val="00384699"/>
    <w:rsid w:val="00386215"/>
    <w:rsid w:val="003864E2"/>
    <w:rsid w:val="003866DC"/>
    <w:rsid w:val="003872AC"/>
    <w:rsid w:val="003900AC"/>
    <w:rsid w:val="00390999"/>
    <w:rsid w:val="003909E0"/>
    <w:rsid w:val="003911D6"/>
    <w:rsid w:val="003911EF"/>
    <w:rsid w:val="00391A9C"/>
    <w:rsid w:val="00391EEB"/>
    <w:rsid w:val="00394B7B"/>
    <w:rsid w:val="00395B87"/>
    <w:rsid w:val="00397E34"/>
    <w:rsid w:val="003A0565"/>
    <w:rsid w:val="003A0BB4"/>
    <w:rsid w:val="003A2CC7"/>
    <w:rsid w:val="003A32D9"/>
    <w:rsid w:val="003A33EF"/>
    <w:rsid w:val="003A415C"/>
    <w:rsid w:val="003A44C5"/>
    <w:rsid w:val="003A4774"/>
    <w:rsid w:val="003A4E7D"/>
    <w:rsid w:val="003A5592"/>
    <w:rsid w:val="003A68DD"/>
    <w:rsid w:val="003A7050"/>
    <w:rsid w:val="003A7482"/>
    <w:rsid w:val="003A75FD"/>
    <w:rsid w:val="003A7DAF"/>
    <w:rsid w:val="003B397A"/>
    <w:rsid w:val="003B3BF6"/>
    <w:rsid w:val="003B4278"/>
    <w:rsid w:val="003B4C8C"/>
    <w:rsid w:val="003B5520"/>
    <w:rsid w:val="003B6B7E"/>
    <w:rsid w:val="003C0075"/>
    <w:rsid w:val="003C06F7"/>
    <w:rsid w:val="003C1594"/>
    <w:rsid w:val="003C19B7"/>
    <w:rsid w:val="003C4059"/>
    <w:rsid w:val="003C50F1"/>
    <w:rsid w:val="003C511D"/>
    <w:rsid w:val="003C537A"/>
    <w:rsid w:val="003C5AFB"/>
    <w:rsid w:val="003C6392"/>
    <w:rsid w:val="003C681A"/>
    <w:rsid w:val="003C7010"/>
    <w:rsid w:val="003C7DAE"/>
    <w:rsid w:val="003D10A8"/>
    <w:rsid w:val="003D2083"/>
    <w:rsid w:val="003D20CC"/>
    <w:rsid w:val="003D2B0F"/>
    <w:rsid w:val="003D3C0F"/>
    <w:rsid w:val="003D626C"/>
    <w:rsid w:val="003D7BE4"/>
    <w:rsid w:val="003E03EB"/>
    <w:rsid w:val="003E0642"/>
    <w:rsid w:val="003E1363"/>
    <w:rsid w:val="003E31D0"/>
    <w:rsid w:val="003E450D"/>
    <w:rsid w:val="003E54FD"/>
    <w:rsid w:val="003E5C35"/>
    <w:rsid w:val="003F0943"/>
    <w:rsid w:val="003F13C4"/>
    <w:rsid w:val="003F142F"/>
    <w:rsid w:val="003F2486"/>
    <w:rsid w:val="003F2E64"/>
    <w:rsid w:val="003F4640"/>
    <w:rsid w:val="003F6488"/>
    <w:rsid w:val="003F69CE"/>
    <w:rsid w:val="003F69D9"/>
    <w:rsid w:val="003F6F64"/>
    <w:rsid w:val="003F7813"/>
    <w:rsid w:val="00400B6B"/>
    <w:rsid w:val="004021B9"/>
    <w:rsid w:val="00402409"/>
    <w:rsid w:val="00404143"/>
    <w:rsid w:val="00404DB5"/>
    <w:rsid w:val="00405D0D"/>
    <w:rsid w:val="0041004D"/>
    <w:rsid w:val="004113D5"/>
    <w:rsid w:val="004115C0"/>
    <w:rsid w:val="004118D0"/>
    <w:rsid w:val="00411B33"/>
    <w:rsid w:val="004125BB"/>
    <w:rsid w:val="00412819"/>
    <w:rsid w:val="0041337E"/>
    <w:rsid w:val="004177E3"/>
    <w:rsid w:val="004202CB"/>
    <w:rsid w:val="00420D53"/>
    <w:rsid w:val="00421B88"/>
    <w:rsid w:val="004224B6"/>
    <w:rsid w:val="004235A0"/>
    <w:rsid w:val="004238B6"/>
    <w:rsid w:val="00423C1E"/>
    <w:rsid w:val="00423C6F"/>
    <w:rsid w:val="00424771"/>
    <w:rsid w:val="00425B35"/>
    <w:rsid w:val="00427801"/>
    <w:rsid w:val="004278C3"/>
    <w:rsid w:val="0043115E"/>
    <w:rsid w:val="00431E52"/>
    <w:rsid w:val="00433AB4"/>
    <w:rsid w:val="004347CE"/>
    <w:rsid w:val="0043546F"/>
    <w:rsid w:val="004370DA"/>
    <w:rsid w:val="00440AB9"/>
    <w:rsid w:val="004428A1"/>
    <w:rsid w:val="004430F8"/>
    <w:rsid w:val="00443C2E"/>
    <w:rsid w:val="004444B6"/>
    <w:rsid w:val="00445920"/>
    <w:rsid w:val="0044597A"/>
    <w:rsid w:val="00445D92"/>
    <w:rsid w:val="00447E3C"/>
    <w:rsid w:val="00451482"/>
    <w:rsid w:val="0045291A"/>
    <w:rsid w:val="00452BD8"/>
    <w:rsid w:val="004539E4"/>
    <w:rsid w:val="00453BAC"/>
    <w:rsid w:val="004544F8"/>
    <w:rsid w:val="00454D44"/>
    <w:rsid w:val="00455259"/>
    <w:rsid w:val="00455A3C"/>
    <w:rsid w:val="0046155B"/>
    <w:rsid w:val="004634EE"/>
    <w:rsid w:val="00463E8F"/>
    <w:rsid w:val="00464475"/>
    <w:rsid w:val="00466116"/>
    <w:rsid w:val="00467BA4"/>
    <w:rsid w:val="004705A5"/>
    <w:rsid w:val="0047156B"/>
    <w:rsid w:val="004715F4"/>
    <w:rsid w:val="0047275D"/>
    <w:rsid w:val="00475575"/>
    <w:rsid w:val="004761F2"/>
    <w:rsid w:val="00480C04"/>
    <w:rsid w:val="00480E25"/>
    <w:rsid w:val="00483678"/>
    <w:rsid w:val="00484077"/>
    <w:rsid w:val="00484668"/>
    <w:rsid w:val="004846D8"/>
    <w:rsid w:val="0048487F"/>
    <w:rsid w:val="00485D81"/>
    <w:rsid w:val="004863EC"/>
    <w:rsid w:val="00486C38"/>
    <w:rsid w:val="0048732C"/>
    <w:rsid w:val="00487542"/>
    <w:rsid w:val="00487ECF"/>
    <w:rsid w:val="0049074E"/>
    <w:rsid w:val="004907F4"/>
    <w:rsid w:val="00493172"/>
    <w:rsid w:val="00493333"/>
    <w:rsid w:val="00494414"/>
    <w:rsid w:val="004951BE"/>
    <w:rsid w:val="0049538C"/>
    <w:rsid w:val="004955BB"/>
    <w:rsid w:val="00497C14"/>
    <w:rsid w:val="004A0EA9"/>
    <w:rsid w:val="004A3533"/>
    <w:rsid w:val="004A3C5B"/>
    <w:rsid w:val="004A461C"/>
    <w:rsid w:val="004A4780"/>
    <w:rsid w:val="004A47DC"/>
    <w:rsid w:val="004A52B6"/>
    <w:rsid w:val="004B10E5"/>
    <w:rsid w:val="004B1F43"/>
    <w:rsid w:val="004B25A0"/>
    <w:rsid w:val="004B29BE"/>
    <w:rsid w:val="004B366C"/>
    <w:rsid w:val="004B3A45"/>
    <w:rsid w:val="004B4063"/>
    <w:rsid w:val="004B4F7D"/>
    <w:rsid w:val="004B4F84"/>
    <w:rsid w:val="004B5505"/>
    <w:rsid w:val="004B55E8"/>
    <w:rsid w:val="004B5CB6"/>
    <w:rsid w:val="004C1341"/>
    <w:rsid w:val="004C21C9"/>
    <w:rsid w:val="004C2C00"/>
    <w:rsid w:val="004C2FA8"/>
    <w:rsid w:val="004C3497"/>
    <w:rsid w:val="004C352C"/>
    <w:rsid w:val="004C3BA7"/>
    <w:rsid w:val="004C4404"/>
    <w:rsid w:val="004C5035"/>
    <w:rsid w:val="004C5276"/>
    <w:rsid w:val="004C5F47"/>
    <w:rsid w:val="004C6D56"/>
    <w:rsid w:val="004C7E96"/>
    <w:rsid w:val="004C7EA7"/>
    <w:rsid w:val="004D1014"/>
    <w:rsid w:val="004D3633"/>
    <w:rsid w:val="004D66DB"/>
    <w:rsid w:val="004D79D4"/>
    <w:rsid w:val="004E0978"/>
    <w:rsid w:val="004E14D9"/>
    <w:rsid w:val="004E1CB1"/>
    <w:rsid w:val="004E2D7E"/>
    <w:rsid w:val="004E4B6A"/>
    <w:rsid w:val="004E4ED5"/>
    <w:rsid w:val="004E6300"/>
    <w:rsid w:val="004F1DDB"/>
    <w:rsid w:val="004F2995"/>
    <w:rsid w:val="004F324F"/>
    <w:rsid w:val="004F4064"/>
    <w:rsid w:val="004F5136"/>
    <w:rsid w:val="004F5DCA"/>
    <w:rsid w:val="004F688F"/>
    <w:rsid w:val="004F74B4"/>
    <w:rsid w:val="004F7624"/>
    <w:rsid w:val="004F7EAA"/>
    <w:rsid w:val="005007C8"/>
    <w:rsid w:val="005021C7"/>
    <w:rsid w:val="00502D84"/>
    <w:rsid w:val="00504B64"/>
    <w:rsid w:val="00505A54"/>
    <w:rsid w:val="00505FAA"/>
    <w:rsid w:val="00506095"/>
    <w:rsid w:val="00506ACA"/>
    <w:rsid w:val="00506CD0"/>
    <w:rsid w:val="00507183"/>
    <w:rsid w:val="00507D6F"/>
    <w:rsid w:val="00507F1F"/>
    <w:rsid w:val="005107FD"/>
    <w:rsid w:val="00510980"/>
    <w:rsid w:val="00511B34"/>
    <w:rsid w:val="00512AEC"/>
    <w:rsid w:val="00512D81"/>
    <w:rsid w:val="0051504C"/>
    <w:rsid w:val="005172B1"/>
    <w:rsid w:val="005203AA"/>
    <w:rsid w:val="00520506"/>
    <w:rsid w:val="005206E2"/>
    <w:rsid w:val="00521ADE"/>
    <w:rsid w:val="0052268E"/>
    <w:rsid w:val="0052280A"/>
    <w:rsid w:val="005248D0"/>
    <w:rsid w:val="00524BC3"/>
    <w:rsid w:val="00525B77"/>
    <w:rsid w:val="0053070C"/>
    <w:rsid w:val="005314DF"/>
    <w:rsid w:val="00533105"/>
    <w:rsid w:val="005331B5"/>
    <w:rsid w:val="00534D3B"/>
    <w:rsid w:val="005351B3"/>
    <w:rsid w:val="005400A5"/>
    <w:rsid w:val="005420B4"/>
    <w:rsid w:val="005437B4"/>
    <w:rsid w:val="00543AE7"/>
    <w:rsid w:val="0054471F"/>
    <w:rsid w:val="00544A64"/>
    <w:rsid w:val="0054520B"/>
    <w:rsid w:val="005459F5"/>
    <w:rsid w:val="00545B68"/>
    <w:rsid w:val="00546CB9"/>
    <w:rsid w:val="00546DF7"/>
    <w:rsid w:val="0055121B"/>
    <w:rsid w:val="00551751"/>
    <w:rsid w:val="00552B6E"/>
    <w:rsid w:val="00552E23"/>
    <w:rsid w:val="005545A5"/>
    <w:rsid w:val="00554715"/>
    <w:rsid w:val="00555D64"/>
    <w:rsid w:val="00556D4F"/>
    <w:rsid w:val="00557A71"/>
    <w:rsid w:val="00560AED"/>
    <w:rsid w:val="005615FA"/>
    <w:rsid w:val="0056231D"/>
    <w:rsid w:val="005623DD"/>
    <w:rsid w:val="00563B23"/>
    <w:rsid w:val="00563D01"/>
    <w:rsid w:val="00564009"/>
    <w:rsid w:val="0056452E"/>
    <w:rsid w:val="00565185"/>
    <w:rsid w:val="005654C8"/>
    <w:rsid w:val="005656FB"/>
    <w:rsid w:val="00566995"/>
    <w:rsid w:val="00567010"/>
    <w:rsid w:val="00567482"/>
    <w:rsid w:val="005678EB"/>
    <w:rsid w:val="00570CA6"/>
    <w:rsid w:val="00570F18"/>
    <w:rsid w:val="0057123D"/>
    <w:rsid w:val="0057170D"/>
    <w:rsid w:val="005720AF"/>
    <w:rsid w:val="0057387E"/>
    <w:rsid w:val="00573BFA"/>
    <w:rsid w:val="00573CC7"/>
    <w:rsid w:val="0057495C"/>
    <w:rsid w:val="005758A5"/>
    <w:rsid w:val="0057613C"/>
    <w:rsid w:val="0057636A"/>
    <w:rsid w:val="00576443"/>
    <w:rsid w:val="00577DEC"/>
    <w:rsid w:val="00583941"/>
    <w:rsid w:val="005847DC"/>
    <w:rsid w:val="005850C7"/>
    <w:rsid w:val="005856EF"/>
    <w:rsid w:val="00585CC6"/>
    <w:rsid w:val="0059072E"/>
    <w:rsid w:val="005908A9"/>
    <w:rsid w:val="00590FA2"/>
    <w:rsid w:val="00591893"/>
    <w:rsid w:val="00592351"/>
    <w:rsid w:val="00593457"/>
    <w:rsid w:val="00594851"/>
    <w:rsid w:val="00594C42"/>
    <w:rsid w:val="00594CEF"/>
    <w:rsid w:val="00596841"/>
    <w:rsid w:val="0059684A"/>
    <w:rsid w:val="005A0345"/>
    <w:rsid w:val="005A0903"/>
    <w:rsid w:val="005A1633"/>
    <w:rsid w:val="005A16B9"/>
    <w:rsid w:val="005A2203"/>
    <w:rsid w:val="005A25B7"/>
    <w:rsid w:val="005A26EE"/>
    <w:rsid w:val="005A33F3"/>
    <w:rsid w:val="005A3C0F"/>
    <w:rsid w:val="005A3EC1"/>
    <w:rsid w:val="005A47B7"/>
    <w:rsid w:val="005A5AB1"/>
    <w:rsid w:val="005A658B"/>
    <w:rsid w:val="005B07C4"/>
    <w:rsid w:val="005B19CD"/>
    <w:rsid w:val="005B19D9"/>
    <w:rsid w:val="005B1B79"/>
    <w:rsid w:val="005B24EA"/>
    <w:rsid w:val="005B2594"/>
    <w:rsid w:val="005B2F2A"/>
    <w:rsid w:val="005B33DF"/>
    <w:rsid w:val="005B55C1"/>
    <w:rsid w:val="005B6F85"/>
    <w:rsid w:val="005C00A9"/>
    <w:rsid w:val="005C17ED"/>
    <w:rsid w:val="005C20F7"/>
    <w:rsid w:val="005C22F8"/>
    <w:rsid w:val="005C3120"/>
    <w:rsid w:val="005C35C7"/>
    <w:rsid w:val="005C4078"/>
    <w:rsid w:val="005C45F6"/>
    <w:rsid w:val="005C5039"/>
    <w:rsid w:val="005C5B11"/>
    <w:rsid w:val="005C5B2D"/>
    <w:rsid w:val="005C6A6C"/>
    <w:rsid w:val="005C74D1"/>
    <w:rsid w:val="005C7C7C"/>
    <w:rsid w:val="005C7FC0"/>
    <w:rsid w:val="005D0735"/>
    <w:rsid w:val="005D1C98"/>
    <w:rsid w:val="005D37B5"/>
    <w:rsid w:val="005D3B85"/>
    <w:rsid w:val="005D3F78"/>
    <w:rsid w:val="005D49F1"/>
    <w:rsid w:val="005D4A01"/>
    <w:rsid w:val="005D4A52"/>
    <w:rsid w:val="005D56B3"/>
    <w:rsid w:val="005D5B6F"/>
    <w:rsid w:val="005D6494"/>
    <w:rsid w:val="005D72C2"/>
    <w:rsid w:val="005D7313"/>
    <w:rsid w:val="005D79E1"/>
    <w:rsid w:val="005D7C68"/>
    <w:rsid w:val="005E1A38"/>
    <w:rsid w:val="005E2179"/>
    <w:rsid w:val="005E27A3"/>
    <w:rsid w:val="005E2AA8"/>
    <w:rsid w:val="005E45D5"/>
    <w:rsid w:val="005E616C"/>
    <w:rsid w:val="005E6624"/>
    <w:rsid w:val="005E66A3"/>
    <w:rsid w:val="005F0478"/>
    <w:rsid w:val="005F1230"/>
    <w:rsid w:val="005F1FA6"/>
    <w:rsid w:val="005F34DA"/>
    <w:rsid w:val="005F4989"/>
    <w:rsid w:val="005F54F7"/>
    <w:rsid w:val="00601C76"/>
    <w:rsid w:val="006031EF"/>
    <w:rsid w:val="0060337A"/>
    <w:rsid w:val="006044C8"/>
    <w:rsid w:val="00604C17"/>
    <w:rsid w:val="006058F1"/>
    <w:rsid w:val="006078A6"/>
    <w:rsid w:val="006108D1"/>
    <w:rsid w:val="00611055"/>
    <w:rsid w:val="00611687"/>
    <w:rsid w:val="00612491"/>
    <w:rsid w:val="00613269"/>
    <w:rsid w:val="00614F7E"/>
    <w:rsid w:val="006154B6"/>
    <w:rsid w:val="0061601E"/>
    <w:rsid w:val="0061643A"/>
    <w:rsid w:val="00617053"/>
    <w:rsid w:val="00617E2A"/>
    <w:rsid w:val="00620ECE"/>
    <w:rsid w:val="0062106A"/>
    <w:rsid w:val="0062230F"/>
    <w:rsid w:val="006226CD"/>
    <w:rsid w:val="00622E77"/>
    <w:rsid w:val="00623758"/>
    <w:rsid w:val="0062398C"/>
    <w:rsid w:val="00624AE2"/>
    <w:rsid w:val="00624DDA"/>
    <w:rsid w:val="00627B44"/>
    <w:rsid w:val="00627C23"/>
    <w:rsid w:val="006305EF"/>
    <w:rsid w:val="00631992"/>
    <w:rsid w:val="00631E30"/>
    <w:rsid w:val="00632705"/>
    <w:rsid w:val="00636E32"/>
    <w:rsid w:val="00636E7F"/>
    <w:rsid w:val="00640475"/>
    <w:rsid w:val="006404A9"/>
    <w:rsid w:val="006419BA"/>
    <w:rsid w:val="00641D35"/>
    <w:rsid w:val="00641F34"/>
    <w:rsid w:val="00642018"/>
    <w:rsid w:val="00642A36"/>
    <w:rsid w:val="006437A9"/>
    <w:rsid w:val="00643F9F"/>
    <w:rsid w:val="006440ED"/>
    <w:rsid w:val="00645857"/>
    <w:rsid w:val="006471C4"/>
    <w:rsid w:val="00650A33"/>
    <w:rsid w:val="00652AEE"/>
    <w:rsid w:val="00653433"/>
    <w:rsid w:val="00653727"/>
    <w:rsid w:val="00653C29"/>
    <w:rsid w:val="00654B04"/>
    <w:rsid w:val="0065650A"/>
    <w:rsid w:val="0065660F"/>
    <w:rsid w:val="00656EB3"/>
    <w:rsid w:val="006573B5"/>
    <w:rsid w:val="00657D5A"/>
    <w:rsid w:val="00660480"/>
    <w:rsid w:val="00661276"/>
    <w:rsid w:val="00661FF2"/>
    <w:rsid w:val="00662C87"/>
    <w:rsid w:val="0066345D"/>
    <w:rsid w:val="00664ECE"/>
    <w:rsid w:val="006652A0"/>
    <w:rsid w:val="00666290"/>
    <w:rsid w:val="00670027"/>
    <w:rsid w:val="00671D22"/>
    <w:rsid w:val="00673018"/>
    <w:rsid w:val="00675EB3"/>
    <w:rsid w:val="0067608C"/>
    <w:rsid w:val="00676843"/>
    <w:rsid w:val="00676BD2"/>
    <w:rsid w:val="00677228"/>
    <w:rsid w:val="00680068"/>
    <w:rsid w:val="006801CA"/>
    <w:rsid w:val="00680B56"/>
    <w:rsid w:val="00680C92"/>
    <w:rsid w:val="00680D4C"/>
    <w:rsid w:val="006817AB"/>
    <w:rsid w:val="00682099"/>
    <w:rsid w:val="00682746"/>
    <w:rsid w:val="00683717"/>
    <w:rsid w:val="00684132"/>
    <w:rsid w:val="006844B9"/>
    <w:rsid w:val="00685707"/>
    <w:rsid w:val="00685B75"/>
    <w:rsid w:val="006867CC"/>
    <w:rsid w:val="00686E95"/>
    <w:rsid w:val="00690740"/>
    <w:rsid w:val="00690C50"/>
    <w:rsid w:val="006923A6"/>
    <w:rsid w:val="00692EE8"/>
    <w:rsid w:val="00693595"/>
    <w:rsid w:val="0069454C"/>
    <w:rsid w:val="00694CCF"/>
    <w:rsid w:val="00694D57"/>
    <w:rsid w:val="00694F26"/>
    <w:rsid w:val="0069509B"/>
    <w:rsid w:val="00696362"/>
    <w:rsid w:val="00697902"/>
    <w:rsid w:val="00697F0A"/>
    <w:rsid w:val="006A04AE"/>
    <w:rsid w:val="006A068B"/>
    <w:rsid w:val="006A0E52"/>
    <w:rsid w:val="006A25B4"/>
    <w:rsid w:val="006A30DB"/>
    <w:rsid w:val="006A3949"/>
    <w:rsid w:val="006A45FD"/>
    <w:rsid w:val="006A4A62"/>
    <w:rsid w:val="006A5942"/>
    <w:rsid w:val="006A7552"/>
    <w:rsid w:val="006B01B9"/>
    <w:rsid w:val="006B0439"/>
    <w:rsid w:val="006B0D10"/>
    <w:rsid w:val="006B0EC2"/>
    <w:rsid w:val="006B13D4"/>
    <w:rsid w:val="006B3ABE"/>
    <w:rsid w:val="006B4884"/>
    <w:rsid w:val="006B4A52"/>
    <w:rsid w:val="006B5383"/>
    <w:rsid w:val="006B6A37"/>
    <w:rsid w:val="006B6D68"/>
    <w:rsid w:val="006B6F61"/>
    <w:rsid w:val="006C14E0"/>
    <w:rsid w:val="006C3B12"/>
    <w:rsid w:val="006C44DF"/>
    <w:rsid w:val="006C4633"/>
    <w:rsid w:val="006C4B3C"/>
    <w:rsid w:val="006C5636"/>
    <w:rsid w:val="006C6C67"/>
    <w:rsid w:val="006C7287"/>
    <w:rsid w:val="006C79D3"/>
    <w:rsid w:val="006D06F9"/>
    <w:rsid w:val="006D0805"/>
    <w:rsid w:val="006D0AA8"/>
    <w:rsid w:val="006D2153"/>
    <w:rsid w:val="006D2870"/>
    <w:rsid w:val="006D4517"/>
    <w:rsid w:val="006D5F3A"/>
    <w:rsid w:val="006D6BCD"/>
    <w:rsid w:val="006D7A97"/>
    <w:rsid w:val="006D7AF1"/>
    <w:rsid w:val="006D7B5A"/>
    <w:rsid w:val="006E0925"/>
    <w:rsid w:val="006E1E9E"/>
    <w:rsid w:val="006E21DA"/>
    <w:rsid w:val="006E4279"/>
    <w:rsid w:val="006E4913"/>
    <w:rsid w:val="006E5555"/>
    <w:rsid w:val="006E5A3B"/>
    <w:rsid w:val="006E5B47"/>
    <w:rsid w:val="006E5C5D"/>
    <w:rsid w:val="006E78BA"/>
    <w:rsid w:val="006E7DAC"/>
    <w:rsid w:val="006F01DF"/>
    <w:rsid w:val="006F1295"/>
    <w:rsid w:val="006F15CC"/>
    <w:rsid w:val="006F1CCA"/>
    <w:rsid w:val="006F2C0E"/>
    <w:rsid w:val="006F4F09"/>
    <w:rsid w:val="006F508D"/>
    <w:rsid w:val="006F51CE"/>
    <w:rsid w:val="006F63C0"/>
    <w:rsid w:val="006F640B"/>
    <w:rsid w:val="0070043C"/>
    <w:rsid w:val="007004B5"/>
    <w:rsid w:val="007046FB"/>
    <w:rsid w:val="00704C2C"/>
    <w:rsid w:val="00705A61"/>
    <w:rsid w:val="0070655C"/>
    <w:rsid w:val="00710424"/>
    <w:rsid w:val="007109F6"/>
    <w:rsid w:val="00711F62"/>
    <w:rsid w:val="007133CB"/>
    <w:rsid w:val="00713F83"/>
    <w:rsid w:val="00714ED2"/>
    <w:rsid w:val="00715F45"/>
    <w:rsid w:val="00716604"/>
    <w:rsid w:val="00716A52"/>
    <w:rsid w:val="0071719A"/>
    <w:rsid w:val="0071726D"/>
    <w:rsid w:val="007176A7"/>
    <w:rsid w:val="007178FF"/>
    <w:rsid w:val="007204B4"/>
    <w:rsid w:val="00720781"/>
    <w:rsid w:val="0072091B"/>
    <w:rsid w:val="00722B07"/>
    <w:rsid w:val="00722BC9"/>
    <w:rsid w:val="00723632"/>
    <w:rsid w:val="007238DA"/>
    <w:rsid w:val="00725052"/>
    <w:rsid w:val="00725342"/>
    <w:rsid w:val="0072534D"/>
    <w:rsid w:val="00725C3B"/>
    <w:rsid w:val="00725F39"/>
    <w:rsid w:val="00727027"/>
    <w:rsid w:val="0073000D"/>
    <w:rsid w:val="0073022F"/>
    <w:rsid w:val="00731DF1"/>
    <w:rsid w:val="00731F2B"/>
    <w:rsid w:val="007322EE"/>
    <w:rsid w:val="0073409B"/>
    <w:rsid w:val="00734105"/>
    <w:rsid w:val="00734AFD"/>
    <w:rsid w:val="00735E32"/>
    <w:rsid w:val="00736BEA"/>
    <w:rsid w:val="007375D0"/>
    <w:rsid w:val="00740095"/>
    <w:rsid w:val="0074159C"/>
    <w:rsid w:val="00742862"/>
    <w:rsid w:val="00742FD0"/>
    <w:rsid w:val="007432EF"/>
    <w:rsid w:val="00743FE9"/>
    <w:rsid w:val="0074497D"/>
    <w:rsid w:val="00745DD0"/>
    <w:rsid w:val="00745F44"/>
    <w:rsid w:val="00746455"/>
    <w:rsid w:val="00746F96"/>
    <w:rsid w:val="0074770C"/>
    <w:rsid w:val="00750405"/>
    <w:rsid w:val="007507C1"/>
    <w:rsid w:val="00751546"/>
    <w:rsid w:val="007541CE"/>
    <w:rsid w:val="007545E5"/>
    <w:rsid w:val="00755577"/>
    <w:rsid w:val="00755878"/>
    <w:rsid w:val="00756B91"/>
    <w:rsid w:val="00757E96"/>
    <w:rsid w:val="00760A86"/>
    <w:rsid w:val="00761F5F"/>
    <w:rsid w:val="0076741B"/>
    <w:rsid w:val="00770C0E"/>
    <w:rsid w:val="00771D19"/>
    <w:rsid w:val="0077277F"/>
    <w:rsid w:val="00774584"/>
    <w:rsid w:val="007747BE"/>
    <w:rsid w:val="00781625"/>
    <w:rsid w:val="00781792"/>
    <w:rsid w:val="00781A3A"/>
    <w:rsid w:val="00782512"/>
    <w:rsid w:val="007826B4"/>
    <w:rsid w:val="00783557"/>
    <w:rsid w:val="0078405C"/>
    <w:rsid w:val="00784D8F"/>
    <w:rsid w:val="00785A6D"/>
    <w:rsid w:val="00786B68"/>
    <w:rsid w:val="007874FB"/>
    <w:rsid w:val="007915AD"/>
    <w:rsid w:val="00792CC3"/>
    <w:rsid w:val="00794013"/>
    <w:rsid w:val="007947C6"/>
    <w:rsid w:val="00794CF3"/>
    <w:rsid w:val="00794E4C"/>
    <w:rsid w:val="00795109"/>
    <w:rsid w:val="0079614E"/>
    <w:rsid w:val="007A0160"/>
    <w:rsid w:val="007A027B"/>
    <w:rsid w:val="007A327D"/>
    <w:rsid w:val="007A3937"/>
    <w:rsid w:val="007A40C6"/>
    <w:rsid w:val="007A4B43"/>
    <w:rsid w:val="007A4F20"/>
    <w:rsid w:val="007A67F3"/>
    <w:rsid w:val="007A6AA0"/>
    <w:rsid w:val="007A6B19"/>
    <w:rsid w:val="007B0E88"/>
    <w:rsid w:val="007B3045"/>
    <w:rsid w:val="007B391E"/>
    <w:rsid w:val="007B45EC"/>
    <w:rsid w:val="007B49DF"/>
    <w:rsid w:val="007B4B6D"/>
    <w:rsid w:val="007B5296"/>
    <w:rsid w:val="007B655B"/>
    <w:rsid w:val="007B67AD"/>
    <w:rsid w:val="007B7639"/>
    <w:rsid w:val="007C00BA"/>
    <w:rsid w:val="007C1254"/>
    <w:rsid w:val="007C1606"/>
    <w:rsid w:val="007C18F2"/>
    <w:rsid w:val="007C1AC1"/>
    <w:rsid w:val="007C1FEC"/>
    <w:rsid w:val="007C41F2"/>
    <w:rsid w:val="007C46D1"/>
    <w:rsid w:val="007C5731"/>
    <w:rsid w:val="007C5C1C"/>
    <w:rsid w:val="007C5E71"/>
    <w:rsid w:val="007C730D"/>
    <w:rsid w:val="007C7393"/>
    <w:rsid w:val="007D0C6A"/>
    <w:rsid w:val="007D391B"/>
    <w:rsid w:val="007D3B29"/>
    <w:rsid w:val="007D43E6"/>
    <w:rsid w:val="007D4EC6"/>
    <w:rsid w:val="007D5CD8"/>
    <w:rsid w:val="007D6974"/>
    <w:rsid w:val="007D7780"/>
    <w:rsid w:val="007E0468"/>
    <w:rsid w:val="007E06B8"/>
    <w:rsid w:val="007E0A4B"/>
    <w:rsid w:val="007E326A"/>
    <w:rsid w:val="007E3EDF"/>
    <w:rsid w:val="007E4CDB"/>
    <w:rsid w:val="007E541D"/>
    <w:rsid w:val="007E548B"/>
    <w:rsid w:val="007F0468"/>
    <w:rsid w:val="007F0994"/>
    <w:rsid w:val="007F1028"/>
    <w:rsid w:val="007F12E2"/>
    <w:rsid w:val="007F1637"/>
    <w:rsid w:val="007F1B11"/>
    <w:rsid w:val="007F1FBA"/>
    <w:rsid w:val="007F4488"/>
    <w:rsid w:val="007F4ABD"/>
    <w:rsid w:val="007F4E8F"/>
    <w:rsid w:val="007F694C"/>
    <w:rsid w:val="007F7212"/>
    <w:rsid w:val="007F74CA"/>
    <w:rsid w:val="007F7B5C"/>
    <w:rsid w:val="00800307"/>
    <w:rsid w:val="00800365"/>
    <w:rsid w:val="00800399"/>
    <w:rsid w:val="00800A09"/>
    <w:rsid w:val="008014EC"/>
    <w:rsid w:val="00801F39"/>
    <w:rsid w:val="0080235B"/>
    <w:rsid w:val="0080294E"/>
    <w:rsid w:val="008029BA"/>
    <w:rsid w:val="00804FC7"/>
    <w:rsid w:val="008075EA"/>
    <w:rsid w:val="00807DD1"/>
    <w:rsid w:val="00810C9D"/>
    <w:rsid w:val="008111C3"/>
    <w:rsid w:val="00811213"/>
    <w:rsid w:val="008125BE"/>
    <w:rsid w:val="00812CF5"/>
    <w:rsid w:val="00813471"/>
    <w:rsid w:val="00814198"/>
    <w:rsid w:val="00814390"/>
    <w:rsid w:val="00814679"/>
    <w:rsid w:val="00814849"/>
    <w:rsid w:val="00820EE3"/>
    <w:rsid w:val="00821B02"/>
    <w:rsid w:val="00821F46"/>
    <w:rsid w:val="00822050"/>
    <w:rsid w:val="00822B92"/>
    <w:rsid w:val="00825488"/>
    <w:rsid w:val="00825653"/>
    <w:rsid w:val="00825D4F"/>
    <w:rsid w:val="00827DBA"/>
    <w:rsid w:val="00830D57"/>
    <w:rsid w:val="00832A31"/>
    <w:rsid w:val="008346B1"/>
    <w:rsid w:val="008354A1"/>
    <w:rsid w:val="00835916"/>
    <w:rsid w:val="0083615A"/>
    <w:rsid w:val="0083650C"/>
    <w:rsid w:val="0084045B"/>
    <w:rsid w:val="00841B72"/>
    <w:rsid w:val="0084645A"/>
    <w:rsid w:val="0084658D"/>
    <w:rsid w:val="0084695E"/>
    <w:rsid w:val="0084755C"/>
    <w:rsid w:val="00850166"/>
    <w:rsid w:val="00850650"/>
    <w:rsid w:val="00850E5D"/>
    <w:rsid w:val="00851E91"/>
    <w:rsid w:val="008524C4"/>
    <w:rsid w:val="0085268C"/>
    <w:rsid w:val="00854ABD"/>
    <w:rsid w:val="00856ED6"/>
    <w:rsid w:val="00857614"/>
    <w:rsid w:val="008605F9"/>
    <w:rsid w:val="00861070"/>
    <w:rsid w:val="0086275F"/>
    <w:rsid w:val="00862CAD"/>
    <w:rsid w:val="00864A50"/>
    <w:rsid w:val="00865C11"/>
    <w:rsid w:val="00866290"/>
    <w:rsid w:val="00866978"/>
    <w:rsid w:val="00866CD7"/>
    <w:rsid w:val="00866D9F"/>
    <w:rsid w:val="00867245"/>
    <w:rsid w:val="00871D3C"/>
    <w:rsid w:val="00872129"/>
    <w:rsid w:val="00872D1B"/>
    <w:rsid w:val="00872DC6"/>
    <w:rsid w:val="008730BC"/>
    <w:rsid w:val="00873ABC"/>
    <w:rsid w:val="0087451E"/>
    <w:rsid w:val="00874D66"/>
    <w:rsid w:val="0087590B"/>
    <w:rsid w:val="00876AD9"/>
    <w:rsid w:val="00876BDD"/>
    <w:rsid w:val="00877A7A"/>
    <w:rsid w:val="00877D54"/>
    <w:rsid w:val="00880394"/>
    <w:rsid w:val="0088208A"/>
    <w:rsid w:val="00882EAC"/>
    <w:rsid w:val="0088306B"/>
    <w:rsid w:val="00883B41"/>
    <w:rsid w:val="008843A6"/>
    <w:rsid w:val="008874FC"/>
    <w:rsid w:val="0088798F"/>
    <w:rsid w:val="00890B69"/>
    <w:rsid w:val="0089248A"/>
    <w:rsid w:val="008933DC"/>
    <w:rsid w:val="008936B3"/>
    <w:rsid w:val="00893807"/>
    <w:rsid w:val="00893890"/>
    <w:rsid w:val="00894515"/>
    <w:rsid w:val="008957E4"/>
    <w:rsid w:val="008958D8"/>
    <w:rsid w:val="00896489"/>
    <w:rsid w:val="00896FD1"/>
    <w:rsid w:val="008976A7"/>
    <w:rsid w:val="008A0E63"/>
    <w:rsid w:val="008A114F"/>
    <w:rsid w:val="008A2257"/>
    <w:rsid w:val="008A2C50"/>
    <w:rsid w:val="008A33CE"/>
    <w:rsid w:val="008A3903"/>
    <w:rsid w:val="008B0362"/>
    <w:rsid w:val="008B1F88"/>
    <w:rsid w:val="008B2644"/>
    <w:rsid w:val="008B298E"/>
    <w:rsid w:val="008B2B89"/>
    <w:rsid w:val="008B31AB"/>
    <w:rsid w:val="008B31D3"/>
    <w:rsid w:val="008B3213"/>
    <w:rsid w:val="008B333F"/>
    <w:rsid w:val="008B383F"/>
    <w:rsid w:val="008B38AD"/>
    <w:rsid w:val="008B3FBF"/>
    <w:rsid w:val="008B44DA"/>
    <w:rsid w:val="008B4A06"/>
    <w:rsid w:val="008B4CBC"/>
    <w:rsid w:val="008B5C9A"/>
    <w:rsid w:val="008B5CEA"/>
    <w:rsid w:val="008B694C"/>
    <w:rsid w:val="008C00E7"/>
    <w:rsid w:val="008C0F42"/>
    <w:rsid w:val="008C1149"/>
    <w:rsid w:val="008C168A"/>
    <w:rsid w:val="008C1EF2"/>
    <w:rsid w:val="008C2F43"/>
    <w:rsid w:val="008C38EB"/>
    <w:rsid w:val="008C3B68"/>
    <w:rsid w:val="008C5253"/>
    <w:rsid w:val="008C5686"/>
    <w:rsid w:val="008C65AC"/>
    <w:rsid w:val="008C6BFB"/>
    <w:rsid w:val="008C6D1F"/>
    <w:rsid w:val="008C7321"/>
    <w:rsid w:val="008C74DA"/>
    <w:rsid w:val="008C7C59"/>
    <w:rsid w:val="008D094A"/>
    <w:rsid w:val="008D132A"/>
    <w:rsid w:val="008D1E99"/>
    <w:rsid w:val="008D2B6E"/>
    <w:rsid w:val="008D394A"/>
    <w:rsid w:val="008D6465"/>
    <w:rsid w:val="008E150C"/>
    <w:rsid w:val="008E1EFC"/>
    <w:rsid w:val="008E4F5C"/>
    <w:rsid w:val="008E58BF"/>
    <w:rsid w:val="008F0512"/>
    <w:rsid w:val="008F19A4"/>
    <w:rsid w:val="008F1A81"/>
    <w:rsid w:val="008F2125"/>
    <w:rsid w:val="008F3B73"/>
    <w:rsid w:val="008F7D0D"/>
    <w:rsid w:val="00900CE5"/>
    <w:rsid w:val="00901E9B"/>
    <w:rsid w:val="00902C6A"/>
    <w:rsid w:val="0090415F"/>
    <w:rsid w:val="00904CA9"/>
    <w:rsid w:val="00905911"/>
    <w:rsid w:val="00906090"/>
    <w:rsid w:val="00906476"/>
    <w:rsid w:val="00906A9A"/>
    <w:rsid w:val="00907061"/>
    <w:rsid w:val="00907834"/>
    <w:rsid w:val="0090788B"/>
    <w:rsid w:val="009079B2"/>
    <w:rsid w:val="00907A5D"/>
    <w:rsid w:val="009118A0"/>
    <w:rsid w:val="00911C28"/>
    <w:rsid w:val="00913D48"/>
    <w:rsid w:val="00913D96"/>
    <w:rsid w:val="009145F6"/>
    <w:rsid w:val="00917246"/>
    <w:rsid w:val="00917547"/>
    <w:rsid w:val="0091759A"/>
    <w:rsid w:val="00917E1A"/>
    <w:rsid w:val="00920540"/>
    <w:rsid w:val="00920F36"/>
    <w:rsid w:val="00922697"/>
    <w:rsid w:val="00922F8C"/>
    <w:rsid w:val="0092325A"/>
    <w:rsid w:val="00924BD8"/>
    <w:rsid w:val="009262FA"/>
    <w:rsid w:val="0092657B"/>
    <w:rsid w:val="00927A82"/>
    <w:rsid w:val="009314DA"/>
    <w:rsid w:val="00931700"/>
    <w:rsid w:val="00933951"/>
    <w:rsid w:val="00935B43"/>
    <w:rsid w:val="009364E2"/>
    <w:rsid w:val="009371D6"/>
    <w:rsid w:val="00937BFF"/>
    <w:rsid w:val="009400A1"/>
    <w:rsid w:val="009410FA"/>
    <w:rsid w:val="00941614"/>
    <w:rsid w:val="009430F7"/>
    <w:rsid w:val="00945D30"/>
    <w:rsid w:val="00946916"/>
    <w:rsid w:val="00947045"/>
    <w:rsid w:val="009475A6"/>
    <w:rsid w:val="0094793F"/>
    <w:rsid w:val="00950842"/>
    <w:rsid w:val="00950C28"/>
    <w:rsid w:val="00951993"/>
    <w:rsid w:val="0095216E"/>
    <w:rsid w:val="00952D7A"/>
    <w:rsid w:val="00953E57"/>
    <w:rsid w:val="00954170"/>
    <w:rsid w:val="0095420F"/>
    <w:rsid w:val="00954CC0"/>
    <w:rsid w:val="00954CC5"/>
    <w:rsid w:val="00955BB4"/>
    <w:rsid w:val="00955C25"/>
    <w:rsid w:val="00956BB5"/>
    <w:rsid w:val="009572E5"/>
    <w:rsid w:val="00957676"/>
    <w:rsid w:val="009617E7"/>
    <w:rsid w:val="009621B2"/>
    <w:rsid w:val="00963A1A"/>
    <w:rsid w:val="00963E1E"/>
    <w:rsid w:val="00964590"/>
    <w:rsid w:val="009653DC"/>
    <w:rsid w:val="0096654A"/>
    <w:rsid w:val="009677E3"/>
    <w:rsid w:val="00971187"/>
    <w:rsid w:val="00971196"/>
    <w:rsid w:val="009727AA"/>
    <w:rsid w:val="00973755"/>
    <w:rsid w:val="00976040"/>
    <w:rsid w:val="0097729B"/>
    <w:rsid w:val="00980736"/>
    <w:rsid w:val="009807A1"/>
    <w:rsid w:val="00981704"/>
    <w:rsid w:val="0098175A"/>
    <w:rsid w:val="0098182C"/>
    <w:rsid w:val="00981D80"/>
    <w:rsid w:val="00983F39"/>
    <w:rsid w:val="00984390"/>
    <w:rsid w:val="00985839"/>
    <w:rsid w:val="0099125B"/>
    <w:rsid w:val="00992952"/>
    <w:rsid w:val="00992D61"/>
    <w:rsid w:val="00995929"/>
    <w:rsid w:val="00995C91"/>
    <w:rsid w:val="00995EE7"/>
    <w:rsid w:val="00996652"/>
    <w:rsid w:val="00996BF1"/>
    <w:rsid w:val="00997009"/>
    <w:rsid w:val="0099745E"/>
    <w:rsid w:val="009A03A3"/>
    <w:rsid w:val="009A2ACF"/>
    <w:rsid w:val="009A306E"/>
    <w:rsid w:val="009A481E"/>
    <w:rsid w:val="009A5D1F"/>
    <w:rsid w:val="009B0257"/>
    <w:rsid w:val="009B03BC"/>
    <w:rsid w:val="009B06F1"/>
    <w:rsid w:val="009B3397"/>
    <w:rsid w:val="009B34F2"/>
    <w:rsid w:val="009B3C36"/>
    <w:rsid w:val="009B51E3"/>
    <w:rsid w:val="009B5654"/>
    <w:rsid w:val="009B5EC1"/>
    <w:rsid w:val="009B7220"/>
    <w:rsid w:val="009B76CB"/>
    <w:rsid w:val="009B7D6C"/>
    <w:rsid w:val="009C04EB"/>
    <w:rsid w:val="009C1AD6"/>
    <w:rsid w:val="009C28E1"/>
    <w:rsid w:val="009C2915"/>
    <w:rsid w:val="009C2E55"/>
    <w:rsid w:val="009C3D06"/>
    <w:rsid w:val="009C3DB4"/>
    <w:rsid w:val="009C3F13"/>
    <w:rsid w:val="009C43FC"/>
    <w:rsid w:val="009C5A80"/>
    <w:rsid w:val="009C5F03"/>
    <w:rsid w:val="009C7C8F"/>
    <w:rsid w:val="009D0450"/>
    <w:rsid w:val="009D1594"/>
    <w:rsid w:val="009D1FBA"/>
    <w:rsid w:val="009D330F"/>
    <w:rsid w:val="009D332F"/>
    <w:rsid w:val="009D388B"/>
    <w:rsid w:val="009D580B"/>
    <w:rsid w:val="009D6294"/>
    <w:rsid w:val="009D7B82"/>
    <w:rsid w:val="009E024C"/>
    <w:rsid w:val="009E05B6"/>
    <w:rsid w:val="009E590F"/>
    <w:rsid w:val="009E6ACF"/>
    <w:rsid w:val="009F0C32"/>
    <w:rsid w:val="009F1649"/>
    <w:rsid w:val="009F26BC"/>
    <w:rsid w:val="009F461F"/>
    <w:rsid w:val="00A006D3"/>
    <w:rsid w:val="00A01305"/>
    <w:rsid w:val="00A01EEF"/>
    <w:rsid w:val="00A0259C"/>
    <w:rsid w:val="00A036CB"/>
    <w:rsid w:val="00A0546A"/>
    <w:rsid w:val="00A05EC0"/>
    <w:rsid w:val="00A061CA"/>
    <w:rsid w:val="00A06AAA"/>
    <w:rsid w:val="00A07A49"/>
    <w:rsid w:val="00A10E38"/>
    <w:rsid w:val="00A11502"/>
    <w:rsid w:val="00A12ECE"/>
    <w:rsid w:val="00A135B3"/>
    <w:rsid w:val="00A1434D"/>
    <w:rsid w:val="00A14953"/>
    <w:rsid w:val="00A167B9"/>
    <w:rsid w:val="00A16CDB"/>
    <w:rsid w:val="00A176A1"/>
    <w:rsid w:val="00A17DB5"/>
    <w:rsid w:val="00A20A09"/>
    <w:rsid w:val="00A20C64"/>
    <w:rsid w:val="00A224C0"/>
    <w:rsid w:val="00A22A14"/>
    <w:rsid w:val="00A23526"/>
    <w:rsid w:val="00A27149"/>
    <w:rsid w:val="00A2793B"/>
    <w:rsid w:val="00A30105"/>
    <w:rsid w:val="00A31ADE"/>
    <w:rsid w:val="00A31FA7"/>
    <w:rsid w:val="00A348D2"/>
    <w:rsid w:val="00A35D3C"/>
    <w:rsid w:val="00A3616F"/>
    <w:rsid w:val="00A377FE"/>
    <w:rsid w:val="00A40E0E"/>
    <w:rsid w:val="00A41C95"/>
    <w:rsid w:val="00A42739"/>
    <w:rsid w:val="00A43393"/>
    <w:rsid w:val="00A43649"/>
    <w:rsid w:val="00A442F1"/>
    <w:rsid w:val="00A46ABD"/>
    <w:rsid w:val="00A46C18"/>
    <w:rsid w:val="00A470CE"/>
    <w:rsid w:val="00A47F1E"/>
    <w:rsid w:val="00A50344"/>
    <w:rsid w:val="00A503E9"/>
    <w:rsid w:val="00A50E65"/>
    <w:rsid w:val="00A52058"/>
    <w:rsid w:val="00A52E2E"/>
    <w:rsid w:val="00A52F63"/>
    <w:rsid w:val="00A55536"/>
    <w:rsid w:val="00A5613C"/>
    <w:rsid w:val="00A56CA0"/>
    <w:rsid w:val="00A570EE"/>
    <w:rsid w:val="00A57C48"/>
    <w:rsid w:val="00A57EB2"/>
    <w:rsid w:val="00A608F5"/>
    <w:rsid w:val="00A62463"/>
    <w:rsid w:val="00A6391E"/>
    <w:rsid w:val="00A63C0B"/>
    <w:rsid w:val="00A649D3"/>
    <w:rsid w:val="00A656FD"/>
    <w:rsid w:val="00A6645C"/>
    <w:rsid w:val="00A66A68"/>
    <w:rsid w:val="00A67837"/>
    <w:rsid w:val="00A70423"/>
    <w:rsid w:val="00A70863"/>
    <w:rsid w:val="00A721B8"/>
    <w:rsid w:val="00A727FC"/>
    <w:rsid w:val="00A72E35"/>
    <w:rsid w:val="00A7300A"/>
    <w:rsid w:val="00A7414F"/>
    <w:rsid w:val="00A758CB"/>
    <w:rsid w:val="00A7627C"/>
    <w:rsid w:val="00A81405"/>
    <w:rsid w:val="00A82114"/>
    <w:rsid w:val="00A82FF0"/>
    <w:rsid w:val="00A83207"/>
    <w:rsid w:val="00A83BED"/>
    <w:rsid w:val="00A8488F"/>
    <w:rsid w:val="00A85DA3"/>
    <w:rsid w:val="00A86BC6"/>
    <w:rsid w:val="00A87D4F"/>
    <w:rsid w:val="00A92670"/>
    <w:rsid w:val="00A92FDC"/>
    <w:rsid w:val="00A96434"/>
    <w:rsid w:val="00A96AAF"/>
    <w:rsid w:val="00A979BC"/>
    <w:rsid w:val="00A97F60"/>
    <w:rsid w:val="00AA03B1"/>
    <w:rsid w:val="00AA0E81"/>
    <w:rsid w:val="00AA2944"/>
    <w:rsid w:val="00AA2A82"/>
    <w:rsid w:val="00AA3179"/>
    <w:rsid w:val="00AB0B41"/>
    <w:rsid w:val="00AB140A"/>
    <w:rsid w:val="00AB1635"/>
    <w:rsid w:val="00AB297D"/>
    <w:rsid w:val="00AB759C"/>
    <w:rsid w:val="00AB7830"/>
    <w:rsid w:val="00AC031E"/>
    <w:rsid w:val="00AC31F2"/>
    <w:rsid w:val="00AC3268"/>
    <w:rsid w:val="00AC35C4"/>
    <w:rsid w:val="00AC3DCF"/>
    <w:rsid w:val="00AC4154"/>
    <w:rsid w:val="00AC587E"/>
    <w:rsid w:val="00AD0413"/>
    <w:rsid w:val="00AD1058"/>
    <w:rsid w:val="00AD18B4"/>
    <w:rsid w:val="00AD4FB0"/>
    <w:rsid w:val="00AD7F13"/>
    <w:rsid w:val="00AE04A8"/>
    <w:rsid w:val="00AE117D"/>
    <w:rsid w:val="00AE1842"/>
    <w:rsid w:val="00AE1843"/>
    <w:rsid w:val="00AE1EEC"/>
    <w:rsid w:val="00AE23F9"/>
    <w:rsid w:val="00AE2430"/>
    <w:rsid w:val="00AE4000"/>
    <w:rsid w:val="00AE52CE"/>
    <w:rsid w:val="00AE5452"/>
    <w:rsid w:val="00AE5EF5"/>
    <w:rsid w:val="00AE6188"/>
    <w:rsid w:val="00AE7AF0"/>
    <w:rsid w:val="00AF03DC"/>
    <w:rsid w:val="00AF258A"/>
    <w:rsid w:val="00AF4AE5"/>
    <w:rsid w:val="00AF5783"/>
    <w:rsid w:val="00AF5D1E"/>
    <w:rsid w:val="00AF6D11"/>
    <w:rsid w:val="00AF76C6"/>
    <w:rsid w:val="00B0165E"/>
    <w:rsid w:val="00B01B17"/>
    <w:rsid w:val="00B04103"/>
    <w:rsid w:val="00B047E9"/>
    <w:rsid w:val="00B050FB"/>
    <w:rsid w:val="00B05867"/>
    <w:rsid w:val="00B07A1A"/>
    <w:rsid w:val="00B07BDD"/>
    <w:rsid w:val="00B10EC0"/>
    <w:rsid w:val="00B123FF"/>
    <w:rsid w:val="00B134B6"/>
    <w:rsid w:val="00B142F4"/>
    <w:rsid w:val="00B14448"/>
    <w:rsid w:val="00B16061"/>
    <w:rsid w:val="00B1645D"/>
    <w:rsid w:val="00B16CC2"/>
    <w:rsid w:val="00B17989"/>
    <w:rsid w:val="00B17C66"/>
    <w:rsid w:val="00B17DAF"/>
    <w:rsid w:val="00B17E1E"/>
    <w:rsid w:val="00B213A5"/>
    <w:rsid w:val="00B21C56"/>
    <w:rsid w:val="00B24AE7"/>
    <w:rsid w:val="00B25103"/>
    <w:rsid w:val="00B267A7"/>
    <w:rsid w:val="00B27A8F"/>
    <w:rsid w:val="00B27B2E"/>
    <w:rsid w:val="00B27CF4"/>
    <w:rsid w:val="00B31421"/>
    <w:rsid w:val="00B31D2B"/>
    <w:rsid w:val="00B31E2C"/>
    <w:rsid w:val="00B32635"/>
    <w:rsid w:val="00B32E44"/>
    <w:rsid w:val="00B336AA"/>
    <w:rsid w:val="00B34173"/>
    <w:rsid w:val="00B34B98"/>
    <w:rsid w:val="00B3571B"/>
    <w:rsid w:val="00B362ED"/>
    <w:rsid w:val="00B36952"/>
    <w:rsid w:val="00B375B6"/>
    <w:rsid w:val="00B40432"/>
    <w:rsid w:val="00B410C1"/>
    <w:rsid w:val="00B41218"/>
    <w:rsid w:val="00B4166B"/>
    <w:rsid w:val="00B418ED"/>
    <w:rsid w:val="00B42554"/>
    <w:rsid w:val="00B42703"/>
    <w:rsid w:val="00B433FC"/>
    <w:rsid w:val="00B43502"/>
    <w:rsid w:val="00B4391E"/>
    <w:rsid w:val="00B43ED0"/>
    <w:rsid w:val="00B45081"/>
    <w:rsid w:val="00B4549F"/>
    <w:rsid w:val="00B46290"/>
    <w:rsid w:val="00B46384"/>
    <w:rsid w:val="00B46FA7"/>
    <w:rsid w:val="00B503D0"/>
    <w:rsid w:val="00B513B4"/>
    <w:rsid w:val="00B514DC"/>
    <w:rsid w:val="00B522AA"/>
    <w:rsid w:val="00B56E38"/>
    <w:rsid w:val="00B60A84"/>
    <w:rsid w:val="00B60AED"/>
    <w:rsid w:val="00B60B0D"/>
    <w:rsid w:val="00B610DD"/>
    <w:rsid w:val="00B61D65"/>
    <w:rsid w:val="00B627D5"/>
    <w:rsid w:val="00B62948"/>
    <w:rsid w:val="00B62AB3"/>
    <w:rsid w:val="00B63B5B"/>
    <w:rsid w:val="00B64AD4"/>
    <w:rsid w:val="00B64E8C"/>
    <w:rsid w:val="00B64E9D"/>
    <w:rsid w:val="00B6579A"/>
    <w:rsid w:val="00B65CCC"/>
    <w:rsid w:val="00B678D4"/>
    <w:rsid w:val="00B708E8"/>
    <w:rsid w:val="00B711F9"/>
    <w:rsid w:val="00B734FD"/>
    <w:rsid w:val="00B738CA"/>
    <w:rsid w:val="00B7404A"/>
    <w:rsid w:val="00B75AC6"/>
    <w:rsid w:val="00B773C5"/>
    <w:rsid w:val="00B77651"/>
    <w:rsid w:val="00B8144B"/>
    <w:rsid w:val="00B81F91"/>
    <w:rsid w:val="00B839BA"/>
    <w:rsid w:val="00B8685C"/>
    <w:rsid w:val="00B86A2D"/>
    <w:rsid w:val="00B86C35"/>
    <w:rsid w:val="00B86DD8"/>
    <w:rsid w:val="00B87C14"/>
    <w:rsid w:val="00B92703"/>
    <w:rsid w:val="00B92955"/>
    <w:rsid w:val="00B93072"/>
    <w:rsid w:val="00B94EFB"/>
    <w:rsid w:val="00B9564E"/>
    <w:rsid w:val="00B96525"/>
    <w:rsid w:val="00B974AE"/>
    <w:rsid w:val="00B97C18"/>
    <w:rsid w:val="00B97D50"/>
    <w:rsid w:val="00B97EC1"/>
    <w:rsid w:val="00BA1692"/>
    <w:rsid w:val="00BA1BBA"/>
    <w:rsid w:val="00BA2267"/>
    <w:rsid w:val="00BA2E58"/>
    <w:rsid w:val="00BA3548"/>
    <w:rsid w:val="00BA3C49"/>
    <w:rsid w:val="00BA5315"/>
    <w:rsid w:val="00BA54F1"/>
    <w:rsid w:val="00BA7A87"/>
    <w:rsid w:val="00BA7A99"/>
    <w:rsid w:val="00BA7C33"/>
    <w:rsid w:val="00BB07FC"/>
    <w:rsid w:val="00BB0B67"/>
    <w:rsid w:val="00BB144E"/>
    <w:rsid w:val="00BB2970"/>
    <w:rsid w:val="00BC0139"/>
    <w:rsid w:val="00BC34F6"/>
    <w:rsid w:val="00BC4494"/>
    <w:rsid w:val="00BC4EF0"/>
    <w:rsid w:val="00BC6E99"/>
    <w:rsid w:val="00BC7C00"/>
    <w:rsid w:val="00BD0CA7"/>
    <w:rsid w:val="00BD1EFB"/>
    <w:rsid w:val="00BD223A"/>
    <w:rsid w:val="00BD2B9E"/>
    <w:rsid w:val="00BD57C8"/>
    <w:rsid w:val="00BD5879"/>
    <w:rsid w:val="00BD5A0C"/>
    <w:rsid w:val="00BD5A45"/>
    <w:rsid w:val="00BD5B58"/>
    <w:rsid w:val="00BD6DE1"/>
    <w:rsid w:val="00BD73F1"/>
    <w:rsid w:val="00BE0E15"/>
    <w:rsid w:val="00BE1EEA"/>
    <w:rsid w:val="00BE2683"/>
    <w:rsid w:val="00BE3711"/>
    <w:rsid w:val="00BE3D8C"/>
    <w:rsid w:val="00BE4B98"/>
    <w:rsid w:val="00BE4D14"/>
    <w:rsid w:val="00BE5CF2"/>
    <w:rsid w:val="00BE72E5"/>
    <w:rsid w:val="00BF067E"/>
    <w:rsid w:val="00BF22E7"/>
    <w:rsid w:val="00BF2883"/>
    <w:rsid w:val="00BF63CC"/>
    <w:rsid w:val="00BF6A00"/>
    <w:rsid w:val="00BF6FA9"/>
    <w:rsid w:val="00BF7497"/>
    <w:rsid w:val="00BF7C90"/>
    <w:rsid w:val="00C00003"/>
    <w:rsid w:val="00C000AC"/>
    <w:rsid w:val="00C00429"/>
    <w:rsid w:val="00C00EEE"/>
    <w:rsid w:val="00C02033"/>
    <w:rsid w:val="00C05FD9"/>
    <w:rsid w:val="00C06BBC"/>
    <w:rsid w:val="00C06C54"/>
    <w:rsid w:val="00C07703"/>
    <w:rsid w:val="00C07949"/>
    <w:rsid w:val="00C105ED"/>
    <w:rsid w:val="00C109F0"/>
    <w:rsid w:val="00C11211"/>
    <w:rsid w:val="00C11925"/>
    <w:rsid w:val="00C120C1"/>
    <w:rsid w:val="00C129D7"/>
    <w:rsid w:val="00C12B50"/>
    <w:rsid w:val="00C13AC2"/>
    <w:rsid w:val="00C13E18"/>
    <w:rsid w:val="00C16BE6"/>
    <w:rsid w:val="00C20BEA"/>
    <w:rsid w:val="00C21E38"/>
    <w:rsid w:val="00C21FA2"/>
    <w:rsid w:val="00C241D4"/>
    <w:rsid w:val="00C2433C"/>
    <w:rsid w:val="00C24C84"/>
    <w:rsid w:val="00C24D43"/>
    <w:rsid w:val="00C24F5B"/>
    <w:rsid w:val="00C250E8"/>
    <w:rsid w:val="00C26014"/>
    <w:rsid w:val="00C2620B"/>
    <w:rsid w:val="00C264F8"/>
    <w:rsid w:val="00C27BA5"/>
    <w:rsid w:val="00C27D23"/>
    <w:rsid w:val="00C31313"/>
    <w:rsid w:val="00C320B6"/>
    <w:rsid w:val="00C32874"/>
    <w:rsid w:val="00C33813"/>
    <w:rsid w:val="00C33E7B"/>
    <w:rsid w:val="00C37286"/>
    <w:rsid w:val="00C405D9"/>
    <w:rsid w:val="00C41668"/>
    <w:rsid w:val="00C4206E"/>
    <w:rsid w:val="00C431FA"/>
    <w:rsid w:val="00C43488"/>
    <w:rsid w:val="00C44F7A"/>
    <w:rsid w:val="00C452D9"/>
    <w:rsid w:val="00C45666"/>
    <w:rsid w:val="00C47754"/>
    <w:rsid w:val="00C47D30"/>
    <w:rsid w:val="00C500E2"/>
    <w:rsid w:val="00C5024B"/>
    <w:rsid w:val="00C508DF"/>
    <w:rsid w:val="00C515AA"/>
    <w:rsid w:val="00C52C5B"/>
    <w:rsid w:val="00C533BD"/>
    <w:rsid w:val="00C53E56"/>
    <w:rsid w:val="00C54452"/>
    <w:rsid w:val="00C557BA"/>
    <w:rsid w:val="00C56774"/>
    <w:rsid w:val="00C5681E"/>
    <w:rsid w:val="00C5784C"/>
    <w:rsid w:val="00C600E8"/>
    <w:rsid w:val="00C62ECF"/>
    <w:rsid w:val="00C64618"/>
    <w:rsid w:val="00C66C40"/>
    <w:rsid w:val="00C67B70"/>
    <w:rsid w:val="00C70D0F"/>
    <w:rsid w:val="00C7219E"/>
    <w:rsid w:val="00C72DAA"/>
    <w:rsid w:val="00C745D1"/>
    <w:rsid w:val="00C74726"/>
    <w:rsid w:val="00C7546F"/>
    <w:rsid w:val="00C7758D"/>
    <w:rsid w:val="00C77777"/>
    <w:rsid w:val="00C81555"/>
    <w:rsid w:val="00C82B5D"/>
    <w:rsid w:val="00C8318D"/>
    <w:rsid w:val="00C83387"/>
    <w:rsid w:val="00C8367E"/>
    <w:rsid w:val="00C83AA5"/>
    <w:rsid w:val="00C83C98"/>
    <w:rsid w:val="00C84986"/>
    <w:rsid w:val="00C8761B"/>
    <w:rsid w:val="00C8762A"/>
    <w:rsid w:val="00C90A9F"/>
    <w:rsid w:val="00C913FF"/>
    <w:rsid w:val="00C941AD"/>
    <w:rsid w:val="00C9639A"/>
    <w:rsid w:val="00C977A3"/>
    <w:rsid w:val="00C97DC8"/>
    <w:rsid w:val="00CA0153"/>
    <w:rsid w:val="00CA04A9"/>
    <w:rsid w:val="00CA401C"/>
    <w:rsid w:val="00CA424D"/>
    <w:rsid w:val="00CA4CBC"/>
    <w:rsid w:val="00CA5BF5"/>
    <w:rsid w:val="00CA6175"/>
    <w:rsid w:val="00CA6DB5"/>
    <w:rsid w:val="00CA74D2"/>
    <w:rsid w:val="00CA77AC"/>
    <w:rsid w:val="00CA7C5D"/>
    <w:rsid w:val="00CB0514"/>
    <w:rsid w:val="00CB089A"/>
    <w:rsid w:val="00CB0974"/>
    <w:rsid w:val="00CB4525"/>
    <w:rsid w:val="00CB4FB7"/>
    <w:rsid w:val="00CB5434"/>
    <w:rsid w:val="00CB5719"/>
    <w:rsid w:val="00CB596E"/>
    <w:rsid w:val="00CB6DEB"/>
    <w:rsid w:val="00CB72AF"/>
    <w:rsid w:val="00CB7359"/>
    <w:rsid w:val="00CB7989"/>
    <w:rsid w:val="00CC0133"/>
    <w:rsid w:val="00CC0B13"/>
    <w:rsid w:val="00CC0BE0"/>
    <w:rsid w:val="00CC18C3"/>
    <w:rsid w:val="00CC4530"/>
    <w:rsid w:val="00CC56BB"/>
    <w:rsid w:val="00CC63DD"/>
    <w:rsid w:val="00CC6CA7"/>
    <w:rsid w:val="00CD18B1"/>
    <w:rsid w:val="00CD1D5F"/>
    <w:rsid w:val="00CD28D1"/>
    <w:rsid w:val="00CD29B7"/>
    <w:rsid w:val="00CD30D0"/>
    <w:rsid w:val="00CD54A9"/>
    <w:rsid w:val="00CE124A"/>
    <w:rsid w:val="00CE2A97"/>
    <w:rsid w:val="00CE370A"/>
    <w:rsid w:val="00CE45DD"/>
    <w:rsid w:val="00CE4D2A"/>
    <w:rsid w:val="00CF0155"/>
    <w:rsid w:val="00CF15DB"/>
    <w:rsid w:val="00CF1B8E"/>
    <w:rsid w:val="00CF2C23"/>
    <w:rsid w:val="00CF2EC3"/>
    <w:rsid w:val="00CF3927"/>
    <w:rsid w:val="00CF39E9"/>
    <w:rsid w:val="00CF3BCD"/>
    <w:rsid w:val="00CF44B0"/>
    <w:rsid w:val="00CF4C62"/>
    <w:rsid w:val="00CF4DED"/>
    <w:rsid w:val="00CF79CE"/>
    <w:rsid w:val="00D00B5B"/>
    <w:rsid w:val="00D0206C"/>
    <w:rsid w:val="00D0502F"/>
    <w:rsid w:val="00D0697C"/>
    <w:rsid w:val="00D06A84"/>
    <w:rsid w:val="00D07F62"/>
    <w:rsid w:val="00D10B90"/>
    <w:rsid w:val="00D113F1"/>
    <w:rsid w:val="00D118DA"/>
    <w:rsid w:val="00D12387"/>
    <w:rsid w:val="00D12577"/>
    <w:rsid w:val="00D13663"/>
    <w:rsid w:val="00D13E3F"/>
    <w:rsid w:val="00D149A1"/>
    <w:rsid w:val="00D14F2A"/>
    <w:rsid w:val="00D153AC"/>
    <w:rsid w:val="00D17284"/>
    <w:rsid w:val="00D17B15"/>
    <w:rsid w:val="00D20058"/>
    <w:rsid w:val="00D20884"/>
    <w:rsid w:val="00D20D3E"/>
    <w:rsid w:val="00D22687"/>
    <w:rsid w:val="00D24EDB"/>
    <w:rsid w:val="00D251BB"/>
    <w:rsid w:val="00D256D4"/>
    <w:rsid w:val="00D25C07"/>
    <w:rsid w:val="00D260E2"/>
    <w:rsid w:val="00D26951"/>
    <w:rsid w:val="00D2779E"/>
    <w:rsid w:val="00D27FD3"/>
    <w:rsid w:val="00D325C8"/>
    <w:rsid w:val="00D32759"/>
    <w:rsid w:val="00D340A4"/>
    <w:rsid w:val="00D340CA"/>
    <w:rsid w:val="00D34291"/>
    <w:rsid w:val="00D404D5"/>
    <w:rsid w:val="00D40A73"/>
    <w:rsid w:val="00D40EA0"/>
    <w:rsid w:val="00D41193"/>
    <w:rsid w:val="00D4162D"/>
    <w:rsid w:val="00D4240E"/>
    <w:rsid w:val="00D42F1B"/>
    <w:rsid w:val="00D4392D"/>
    <w:rsid w:val="00D4472D"/>
    <w:rsid w:val="00D45F62"/>
    <w:rsid w:val="00D46793"/>
    <w:rsid w:val="00D5110F"/>
    <w:rsid w:val="00D513E0"/>
    <w:rsid w:val="00D5168F"/>
    <w:rsid w:val="00D524BC"/>
    <w:rsid w:val="00D5353F"/>
    <w:rsid w:val="00D541BE"/>
    <w:rsid w:val="00D546FB"/>
    <w:rsid w:val="00D54CB0"/>
    <w:rsid w:val="00D550D9"/>
    <w:rsid w:val="00D60AD8"/>
    <w:rsid w:val="00D6135D"/>
    <w:rsid w:val="00D61844"/>
    <w:rsid w:val="00D61AA5"/>
    <w:rsid w:val="00D652FC"/>
    <w:rsid w:val="00D6733D"/>
    <w:rsid w:val="00D71699"/>
    <w:rsid w:val="00D72B69"/>
    <w:rsid w:val="00D73493"/>
    <w:rsid w:val="00D74098"/>
    <w:rsid w:val="00D74264"/>
    <w:rsid w:val="00D749C9"/>
    <w:rsid w:val="00D74DEF"/>
    <w:rsid w:val="00D751B3"/>
    <w:rsid w:val="00D777C4"/>
    <w:rsid w:val="00D80578"/>
    <w:rsid w:val="00D8102F"/>
    <w:rsid w:val="00D81AA3"/>
    <w:rsid w:val="00D81C1F"/>
    <w:rsid w:val="00D822F6"/>
    <w:rsid w:val="00D83636"/>
    <w:rsid w:val="00D8553D"/>
    <w:rsid w:val="00D85F98"/>
    <w:rsid w:val="00D86162"/>
    <w:rsid w:val="00D86455"/>
    <w:rsid w:val="00D869C3"/>
    <w:rsid w:val="00D905D5"/>
    <w:rsid w:val="00D912FC"/>
    <w:rsid w:val="00D91AE1"/>
    <w:rsid w:val="00DA151F"/>
    <w:rsid w:val="00DA1684"/>
    <w:rsid w:val="00DA397A"/>
    <w:rsid w:val="00DA3B92"/>
    <w:rsid w:val="00DA4689"/>
    <w:rsid w:val="00DA474C"/>
    <w:rsid w:val="00DA4891"/>
    <w:rsid w:val="00DA4926"/>
    <w:rsid w:val="00DA6B7D"/>
    <w:rsid w:val="00DB02C0"/>
    <w:rsid w:val="00DB0357"/>
    <w:rsid w:val="00DB2227"/>
    <w:rsid w:val="00DB23F6"/>
    <w:rsid w:val="00DB284F"/>
    <w:rsid w:val="00DB39B4"/>
    <w:rsid w:val="00DB3E0A"/>
    <w:rsid w:val="00DB5D01"/>
    <w:rsid w:val="00DB79E4"/>
    <w:rsid w:val="00DC06A4"/>
    <w:rsid w:val="00DC0ACA"/>
    <w:rsid w:val="00DC1684"/>
    <w:rsid w:val="00DC2BF8"/>
    <w:rsid w:val="00DC3459"/>
    <w:rsid w:val="00DC3B22"/>
    <w:rsid w:val="00DD0D69"/>
    <w:rsid w:val="00DD26E3"/>
    <w:rsid w:val="00DD3D37"/>
    <w:rsid w:val="00DD4EF2"/>
    <w:rsid w:val="00DD7636"/>
    <w:rsid w:val="00DE16CD"/>
    <w:rsid w:val="00DE32E5"/>
    <w:rsid w:val="00DE3605"/>
    <w:rsid w:val="00DE3946"/>
    <w:rsid w:val="00DE3C7B"/>
    <w:rsid w:val="00DE44DB"/>
    <w:rsid w:val="00DE4881"/>
    <w:rsid w:val="00DE4AD3"/>
    <w:rsid w:val="00DE5661"/>
    <w:rsid w:val="00DE5C7B"/>
    <w:rsid w:val="00DE68B4"/>
    <w:rsid w:val="00DF09B1"/>
    <w:rsid w:val="00DF14B9"/>
    <w:rsid w:val="00DF26B2"/>
    <w:rsid w:val="00DF4DDE"/>
    <w:rsid w:val="00DF5762"/>
    <w:rsid w:val="00DF73C4"/>
    <w:rsid w:val="00DF76B9"/>
    <w:rsid w:val="00E00BB7"/>
    <w:rsid w:val="00E01FF7"/>
    <w:rsid w:val="00E0292B"/>
    <w:rsid w:val="00E0320C"/>
    <w:rsid w:val="00E03565"/>
    <w:rsid w:val="00E03DC4"/>
    <w:rsid w:val="00E042A9"/>
    <w:rsid w:val="00E05889"/>
    <w:rsid w:val="00E05FC9"/>
    <w:rsid w:val="00E06183"/>
    <w:rsid w:val="00E072D8"/>
    <w:rsid w:val="00E10832"/>
    <w:rsid w:val="00E10C0D"/>
    <w:rsid w:val="00E117C6"/>
    <w:rsid w:val="00E11E52"/>
    <w:rsid w:val="00E11F6A"/>
    <w:rsid w:val="00E12E6A"/>
    <w:rsid w:val="00E14666"/>
    <w:rsid w:val="00E14EC2"/>
    <w:rsid w:val="00E151D6"/>
    <w:rsid w:val="00E15329"/>
    <w:rsid w:val="00E15664"/>
    <w:rsid w:val="00E15A03"/>
    <w:rsid w:val="00E167E1"/>
    <w:rsid w:val="00E21E8C"/>
    <w:rsid w:val="00E228D6"/>
    <w:rsid w:val="00E250B5"/>
    <w:rsid w:val="00E26155"/>
    <w:rsid w:val="00E2708D"/>
    <w:rsid w:val="00E270E6"/>
    <w:rsid w:val="00E2770A"/>
    <w:rsid w:val="00E33737"/>
    <w:rsid w:val="00E33CD1"/>
    <w:rsid w:val="00E36C6E"/>
    <w:rsid w:val="00E40C06"/>
    <w:rsid w:val="00E40F6F"/>
    <w:rsid w:val="00E42717"/>
    <w:rsid w:val="00E43DFA"/>
    <w:rsid w:val="00E43E30"/>
    <w:rsid w:val="00E44250"/>
    <w:rsid w:val="00E45553"/>
    <w:rsid w:val="00E45A60"/>
    <w:rsid w:val="00E4639E"/>
    <w:rsid w:val="00E47E96"/>
    <w:rsid w:val="00E510DC"/>
    <w:rsid w:val="00E53631"/>
    <w:rsid w:val="00E5420C"/>
    <w:rsid w:val="00E56339"/>
    <w:rsid w:val="00E56ECC"/>
    <w:rsid w:val="00E572EF"/>
    <w:rsid w:val="00E5762D"/>
    <w:rsid w:val="00E57FEE"/>
    <w:rsid w:val="00E629C3"/>
    <w:rsid w:val="00E63001"/>
    <w:rsid w:val="00E6536A"/>
    <w:rsid w:val="00E667B4"/>
    <w:rsid w:val="00E67866"/>
    <w:rsid w:val="00E715FD"/>
    <w:rsid w:val="00E71601"/>
    <w:rsid w:val="00E718F8"/>
    <w:rsid w:val="00E71F11"/>
    <w:rsid w:val="00E729F5"/>
    <w:rsid w:val="00E736B3"/>
    <w:rsid w:val="00E73C8D"/>
    <w:rsid w:val="00E758D8"/>
    <w:rsid w:val="00E75C18"/>
    <w:rsid w:val="00E76BE0"/>
    <w:rsid w:val="00E76DB1"/>
    <w:rsid w:val="00E76EAA"/>
    <w:rsid w:val="00E7728D"/>
    <w:rsid w:val="00E7795C"/>
    <w:rsid w:val="00E77F48"/>
    <w:rsid w:val="00E80B69"/>
    <w:rsid w:val="00E81991"/>
    <w:rsid w:val="00E83C37"/>
    <w:rsid w:val="00E87B8E"/>
    <w:rsid w:val="00E900D1"/>
    <w:rsid w:val="00E90673"/>
    <w:rsid w:val="00E91856"/>
    <w:rsid w:val="00E92149"/>
    <w:rsid w:val="00E92613"/>
    <w:rsid w:val="00E926EA"/>
    <w:rsid w:val="00E930E1"/>
    <w:rsid w:val="00E932CE"/>
    <w:rsid w:val="00E9330B"/>
    <w:rsid w:val="00E937F2"/>
    <w:rsid w:val="00E96BC6"/>
    <w:rsid w:val="00E96D3E"/>
    <w:rsid w:val="00E976C6"/>
    <w:rsid w:val="00EA00F3"/>
    <w:rsid w:val="00EA07A3"/>
    <w:rsid w:val="00EA0FFB"/>
    <w:rsid w:val="00EA1938"/>
    <w:rsid w:val="00EA1DF8"/>
    <w:rsid w:val="00EA2155"/>
    <w:rsid w:val="00EA3A4B"/>
    <w:rsid w:val="00EA4F03"/>
    <w:rsid w:val="00EA6C48"/>
    <w:rsid w:val="00EA71E1"/>
    <w:rsid w:val="00EB0107"/>
    <w:rsid w:val="00EB0AE8"/>
    <w:rsid w:val="00EB26CD"/>
    <w:rsid w:val="00EB3306"/>
    <w:rsid w:val="00EB3FB0"/>
    <w:rsid w:val="00EB435C"/>
    <w:rsid w:val="00EB4C4B"/>
    <w:rsid w:val="00EB4F26"/>
    <w:rsid w:val="00EB5A09"/>
    <w:rsid w:val="00EB5B49"/>
    <w:rsid w:val="00EB6DDD"/>
    <w:rsid w:val="00EB6E94"/>
    <w:rsid w:val="00EC1C37"/>
    <w:rsid w:val="00EC4220"/>
    <w:rsid w:val="00EC4A33"/>
    <w:rsid w:val="00EC4A87"/>
    <w:rsid w:val="00EC5900"/>
    <w:rsid w:val="00EC5E44"/>
    <w:rsid w:val="00EC6271"/>
    <w:rsid w:val="00EC7556"/>
    <w:rsid w:val="00EC7A99"/>
    <w:rsid w:val="00ED086D"/>
    <w:rsid w:val="00ED0F0B"/>
    <w:rsid w:val="00ED1036"/>
    <w:rsid w:val="00ED2EBC"/>
    <w:rsid w:val="00ED3AF2"/>
    <w:rsid w:val="00ED4242"/>
    <w:rsid w:val="00ED42A3"/>
    <w:rsid w:val="00ED4755"/>
    <w:rsid w:val="00ED584C"/>
    <w:rsid w:val="00ED7431"/>
    <w:rsid w:val="00EE0519"/>
    <w:rsid w:val="00EE2179"/>
    <w:rsid w:val="00EE2381"/>
    <w:rsid w:val="00EE3BFD"/>
    <w:rsid w:val="00EE5A58"/>
    <w:rsid w:val="00EE64AA"/>
    <w:rsid w:val="00EE77EC"/>
    <w:rsid w:val="00EF0CFD"/>
    <w:rsid w:val="00EF0E9B"/>
    <w:rsid w:val="00EF1BA6"/>
    <w:rsid w:val="00EF3AB4"/>
    <w:rsid w:val="00EF4866"/>
    <w:rsid w:val="00EF6708"/>
    <w:rsid w:val="00EF6DD7"/>
    <w:rsid w:val="00EF754F"/>
    <w:rsid w:val="00F004E9"/>
    <w:rsid w:val="00F010EE"/>
    <w:rsid w:val="00F02332"/>
    <w:rsid w:val="00F0467A"/>
    <w:rsid w:val="00F0649C"/>
    <w:rsid w:val="00F07952"/>
    <w:rsid w:val="00F10AC6"/>
    <w:rsid w:val="00F20E61"/>
    <w:rsid w:val="00F2303B"/>
    <w:rsid w:val="00F23656"/>
    <w:rsid w:val="00F238B5"/>
    <w:rsid w:val="00F257D4"/>
    <w:rsid w:val="00F25A44"/>
    <w:rsid w:val="00F25F45"/>
    <w:rsid w:val="00F26811"/>
    <w:rsid w:val="00F26C08"/>
    <w:rsid w:val="00F336CC"/>
    <w:rsid w:val="00F33EFF"/>
    <w:rsid w:val="00F34FD9"/>
    <w:rsid w:val="00F35B03"/>
    <w:rsid w:val="00F36121"/>
    <w:rsid w:val="00F36EA1"/>
    <w:rsid w:val="00F3743A"/>
    <w:rsid w:val="00F37FA5"/>
    <w:rsid w:val="00F40144"/>
    <w:rsid w:val="00F40265"/>
    <w:rsid w:val="00F42DF2"/>
    <w:rsid w:val="00F44415"/>
    <w:rsid w:val="00F44691"/>
    <w:rsid w:val="00F448CA"/>
    <w:rsid w:val="00F45123"/>
    <w:rsid w:val="00F4578F"/>
    <w:rsid w:val="00F46149"/>
    <w:rsid w:val="00F46952"/>
    <w:rsid w:val="00F50086"/>
    <w:rsid w:val="00F50497"/>
    <w:rsid w:val="00F52603"/>
    <w:rsid w:val="00F52760"/>
    <w:rsid w:val="00F52E2D"/>
    <w:rsid w:val="00F53303"/>
    <w:rsid w:val="00F5444B"/>
    <w:rsid w:val="00F608C1"/>
    <w:rsid w:val="00F60A53"/>
    <w:rsid w:val="00F60E69"/>
    <w:rsid w:val="00F61230"/>
    <w:rsid w:val="00F62F45"/>
    <w:rsid w:val="00F6309B"/>
    <w:rsid w:val="00F64615"/>
    <w:rsid w:val="00F65669"/>
    <w:rsid w:val="00F659BB"/>
    <w:rsid w:val="00F65E67"/>
    <w:rsid w:val="00F701B3"/>
    <w:rsid w:val="00F7123B"/>
    <w:rsid w:val="00F71993"/>
    <w:rsid w:val="00F72BBB"/>
    <w:rsid w:val="00F735E8"/>
    <w:rsid w:val="00F739F2"/>
    <w:rsid w:val="00F73CCF"/>
    <w:rsid w:val="00F74FE5"/>
    <w:rsid w:val="00F750B6"/>
    <w:rsid w:val="00F76B07"/>
    <w:rsid w:val="00F80AE3"/>
    <w:rsid w:val="00F8360A"/>
    <w:rsid w:val="00F83B96"/>
    <w:rsid w:val="00F845E6"/>
    <w:rsid w:val="00F849DF"/>
    <w:rsid w:val="00F8600D"/>
    <w:rsid w:val="00F8786B"/>
    <w:rsid w:val="00F90530"/>
    <w:rsid w:val="00F91D8A"/>
    <w:rsid w:val="00F93915"/>
    <w:rsid w:val="00F93F3C"/>
    <w:rsid w:val="00F94304"/>
    <w:rsid w:val="00F9437B"/>
    <w:rsid w:val="00F943F5"/>
    <w:rsid w:val="00F94501"/>
    <w:rsid w:val="00F94AF9"/>
    <w:rsid w:val="00F94F1B"/>
    <w:rsid w:val="00F957AF"/>
    <w:rsid w:val="00F96174"/>
    <w:rsid w:val="00FA08E4"/>
    <w:rsid w:val="00FA0CF7"/>
    <w:rsid w:val="00FA1A11"/>
    <w:rsid w:val="00FA2515"/>
    <w:rsid w:val="00FA269B"/>
    <w:rsid w:val="00FA340A"/>
    <w:rsid w:val="00FA4024"/>
    <w:rsid w:val="00FA4F9B"/>
    <w:rsid w:val="00FA5DAA"/>
    <w:rsid w:val="00FA6B10"/>
    <w:rsid w:val="00FA710D"/>
    <w:rsid w:val="00FB0D18"/>
    <w:rsid w:val="00FB0D71"/>
    <w:rsid w:val="00FB1517"/>
    <w:rsid w:val="00FB390F"/>
    <w:rsid w:val="00FB4712"/>
    <w:rsid w:val="00FB4A24"/>
    <w:rsid w:val="00FB4E49"/>
    <w:rsid w:val="00FB582F"/>
    <w:rsid w:val="00FB63B1"/>
    <w:rsid w:val="00FB6B5D"/>
    <w:rsid w:val="00FC082C"/>
    <w:rsid w:val="00FC12D1"/>
    <w:rsid w:val="00FC2426"/>
    <w:rsid w:val="00FC3210"/>
    <w:rsid w:val="00FC3827"/>
    <w:rsid w:val="00FC3AF0"/>
    <w:rsid w:val="00FC3BFD"/>
    <w:rsid w:val="00FC4B9F"/>
    <w:rsid w:val="00FC4DD0"/>
    <w:rsid w:val="00FC6110"/>
    <w:rsid w:val="00FC6196"/>
    <w:rsid w:val="00FC654F"/>
    <w:rsid w:val="00FC66FF"/>
    <w:rsid w:val="00FC77AF"/>
    <w:rsid w:val="00FC79C6"/>
    <w:rsid w:val="00FD00C2"/>
    <w:rsid w:val="00FD0991"/>
    <w:rsid w:val="00FD1226"/>
    <w:rsid w:val="00FD4AB2"/>
    <w:rsid w:val="00FD4F6B"/>
    <w:rsid w:val="00FD4FDA"/>
    <w:rsid w:val="00FD620B"/>
    <w:rsid w:val="00FD6B02"/>
    <w:rsid w:val="00FE0037"/>
    <w:rsid w:val="00FE0B7F"/>
    <w:rsid w:val="00FE0F32"/>
    <w:rsid w:val="00FE11DF"/>
    <w:rsid w:val="00FE2C69"/>
    <w:rsid w:val="00FE2E9C"/>
    <w:rsid w:val="00FE4EFF"/>
    <w:rsid w:val="00FE62AA"/>
    <w:rsid w:val="00FF047B"/>
    <w:rsid w:val="00FF2F1A"/>
    <w:rsid w:val="00FF2FB9"/>
    <w:rsid w:val="00FF364F"/>
    <w:rsid w:val="00FF41A6"/>
    <w:rsid w:val="00FF4768"/>
    <w:rsid w:val="00FF748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9A09A"/>
  <w15:docId w15:val="{07CD536A-1E75-4B16-8266-A39025BDF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next w:val="F2-zkladn"/>
    <w:qFormat/>
    <w:rsid w:val="004202CB"/>
    <w:pPr>
      <w:spacing w:before="240" w:line="300" w:lineRule="exact"/>
      <w:jc w:val="both"/>
    </w:pPr>
    <w:rPr>
      <w:rFonts w:ascii="Arial" w:hAnsi="Arial" w:cs="Arial"/>
    </w:rPr>
  </w:style>
  <w:style w:type="paragraph" w:styleId="Nadpis1">
    <w:name w:val="heading 1"/>
    <w:aliases w:val="F10 - Nadpis 1"/>
    <w:basedOn w:val="Normln"/>
    <w:next w:val="Normln"/>
    <w:qFormat/>
    <w:rsid w:val="00794E4C"/>
    <w:pPr>
      <w:keepNext/>
      <w:spacing w:after="60"/>
      <w:outlineLvl w:val="0"/>
    </w:pPr>
    <w:rPr>
      <w:b/>
      <w:bCs/>
      <w:kern w:val="32"/>
      <w:sz w:val="32"/>
      <w:szCs w:val="32"/>
    </w:rPr>
  </w:style>
  <w:style w:type="paragraph" w:styleId="Nadpis2">
    <w:name w:val="heading 2"/>
    <w:aliases w:val="F9 - Nadpis 2"/>
    <w:basedOn w:val="Normln"/>
    <w:next w:val="Normln"/>
    <w:qFormat/>
    <w:rsid w:val="00F94AF9"/>
    <w:pPr>
      <w:keepNext/>
      <w:numPr>
        <w:ilvl w:val="1"/>
        <w:numId w:val="4"/>
      </w:numPr>
      <w:spacing w:after="60"/>
      <w:outlineLvl w:val="1"/>
    </w:pPr>
    <w:rPr>
      <w:b/>
      <w:bCs/>
      <w:i/>
      <w:iCs/>
      <w:sz w:val="28"/>
      <w:szCs w:val="28"/>
    </w:rPr>
  </w:style>
  <w:style w:type="paragraph" w:styleId="Nadpis3">
    <w:name w:val="heading 3"/>
    <w:aliases w:val="F8 - Nadpis 3"/>
    <w:basedOn w:val="Normln"/>
    <w:next w:val="Normln"/>
    <w:qFormat/>
    <w:rsid w:val="002B6FCD"/>
    <w:pPr>
      <w:keepNext/>
      <w:numPr>
        <w:ilvl w:val="2"/>
        <w:numId w:val="5"/>
      </w:numPr>
      <w:spacing w:after="60"/>
      <w:outlineLvl w:val="2"/>
    </w:pPr>
    <w:rPr>
      <w:b/>
      <w:bCs/>
      <w:sz w:val="26"/>
      <w:szCs w:val="26"/>
    </w:rPr>
  </w:style>
  <w:style w:type="paragraph" w:styleId="Nadpis4">
    <w:name w:val="heading 4"/>
    <w:basedOn w:val="Normln"/>
    <w:next w:val="Normln"/>
    <w:qFormat/>
    <w:rsid w:val="00C5024B"/>
    <w:pPr>
      <w:keepNext/>
      <w:spacing w:after="60"/>
      <w:outlineLvl w:val="3"/>
    </w:pPr>
    <w:rPr>
      <w:b/>
      <w:bCs/>
      <w:sz w:val="28"/>
      <w:szCs w:val="28"/>
    </w:rPr>
  </w:style>
  <w:style w:type="paragraph" w:styleId="Nadpis5">
    <w:name w:val="heading 5"/>
    <w:basedOn w:val="Normln"/>
    <w:next w:val="Normln"/>
    <w:qFormat/>
    <w:rsid w:val="00C5024B"/>
    <w:pPr>
      <w:numPr>
        <w:ilvl w:val="4"/>
        <w:numId w:val="6"/>
      </w:numPr>
      <w:spacing w:after="60"/>
      <w:outlineLvl w:val="4"/>
    </w:pPr>
    <w:rPr>
      <w:b/>
      <w:bCs/>
      <w:i/>
      <w:iCs/>
      <w:sz w:val="26"/>
      <w:szCs w:val="26"/>
    </w:rPr>
  </w:style>
  <w:style w:type="paragraph" w:styleId="Nadpis6">
    <w:name w:val="heading 6"/>
    <w:basedOn w:val="Normln"/>
    <w:next w:val="Normln"/>
    <w:qFormat/>
    <w:rsid w:val="00C5024B"/>
    <w:pPr>
      <w:numPr>
        <w:ilvl w:val="5"/>
        <w:numId w:val="6"/>
      </w:numPr>
      <w:spacing w:after="60"/>
      <w:outlineLvl w:val="5"/>
    </w:pPr>
    <w:rPr>
      <w:b/>
      <w:bCs/>
      <w:sz w:val="22"/>
      <w:szCs w:val="22"/>
    </w:rPr>
  </w:style>
  <w:style w:type="paragraph" w:styleId="Nadpis7">
    <w:name w:val="heading 7"/>
    <w:basedOn w:val="Normln"/>
    <w:next w:val="Normln"/>
    <w:qFormat/>
    <w:rsid w:val="00C5024B"/>
    <w:pPr>
      <w:numPr>
        <w:ilvl w:val="6"/>
        <w:numId w:val="6"/>
      </w:numPr>
      <w:spacing w:after="60"/>
      <w:outlineLvl w:val="6"/>
    </w:pPr>
  </w:style>
  <w:style w:type="paragraph" w:styleId="Nadpis8">
    <w:name w:val="heading 8"/>
    <w:basedOn w:val="Normln"/>
    <w:next w:val="Normln"/>
    <w:qFormat/>
    <w:rsid w:val="00C5024B"/>
    <w:pPr>
      <w:numPr>
        <w:ilvl w:val="7"/>
        <w:numId w:val="6"/>
      </w:numPr>
      <w:spacing w:after="60"/>
      <w:outlineLvl w:val="7"/>
    </w:pPr>
    <w:rPr>
      <w:i/>
      <w:iCs/>
    </w:rPr>
  </w:style>
  <w:style w:type="paragraph" w:styleId="Nadpis9">
    <w:name w:val="heading 9"/>
    <w:basedOn w:val="Normln"/>
    <w:next w:val="Normln"/>
    <w:qFormat/>
    <w:rsid w:val="00C5024B"/>
    <w:pPr>
      <w:numPr>
        <w:ilvl w:val="8"/>
        <w:numId w:val="6"/>
      </w:numPr>
      <w:spacing w:after="60"/>
      <w:outlineLvl w:val="8"/>
    </w:pPr>
    <w:rPr>
      <w:sz w:val="22"/>
      <w:szCs w:val="22"/>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F2-zkladn">
    <w:name w:val="F2 - základní"/>
    <w:link w:val="F2-zkladnCharChar"/>
    <w:rsid w:val="00D74098"/>
    <w:pPr>
      <w:spacing w:before="240" w:line="300" w:lineRule="exact"/>
      <w:jc w:val="both"/>
    </w:pPr>
    <w:rPr>
      <w:rFonts w:ascii="Arial" w:hAnsi="Arial" w:cs="Arial"/>
    </w:rPr>
  </w:style>
  <w:style w:type="paragraph" w:customStyle="1" w:styleId="F3-odrka">
    <w:name w:val="F3 - odrážka"/>
    <w:basedOn w:val="F2-zkladn"/>
    <w:rsid w:val="002B0B15"/>
    <w:pPr>
      <w:numPr>
        <w:numId w:val="22"/>
      </w:numPr>
      <w:spacing w:before="60"/>
    </w:pPr>
  </w:style>
  <w:style w:type="paragraph" w:customStyle="1" w:styleId="F4-slovn">
    <w:name w:val="F4 - číslování"/>
    <w:basedOn w:val="F2-zkladn"/>
    <w:rsid w:val="009C3F13"/>
    <w:pPr>
      <w:numPr>
        <w:numId w:val="20"/>
      </w:numPr>
      <w:spacing w:before="120" w:after="120"/>
    </w:pPr>
  </w:style>
  <w:style w:type="paragraph" w:customStyle="1" w:styleId="F6-kol">
    <w:name w:val="F6 - úkol"/>
    <w:basedOn w:val="F2-zkladn"/>
    <w:next w:val="F2-zkladn"/>
    <w:rsid w:val="006B13D4"/>
    <w:pPr>
      <w:numPr>
        <w:numId w:val="1"/>
      </w:numPr>
    </w:pPr>
    <w:rPr>
      <w:bCs/>
      <w:color w:val="0000FF"/>
    </w:rPr>
  </w:style>
  <w:style w:type="paragraph" w:customStyle="1" w:styleId="F5-psmena">
    <w:name w:val="F5 - písmena"/>
    <w:basedOn w:val="F2-zkladn"/>
    <w:rsid w:val="005D49F1"/>
    <w:pPr>
      <w:numPr>
        <w:numId w:val="21"/>
      </w:numPr>
      <w:spacing w:before="120" w:after="120"/>
    </w:pPr>
  </w:style>
  <w:style w:type="paragraph" w:customStyle="1" w:styleId="F7-chyba">
    <w:name w:val="F7 - chyba"/>
    <w:basedOn w:val="F2-zkladn"/>
    <w:next w:val="F2-zkladn"/>
    <w:rsid w:val="006B13D4"/>
    <w:pPr>
      <w:numPr>
        <w:numId w:val="2"/>
      </w:numPr>
    </w:pPr>
    <w:rPr>
      <w:color w:val="FF0000"/>
    </w:rPr>
  </w:style>
  <w:style w:type="paragraph" w:customStyle="1" w:styleId="F8-nadpis3">
    <w:name w:val="F8 - nadpis 3"/>
    <w:basedOn w:val="F2-zkladn"/>
    <w:next w:val="F2-zkladn"/>
    <w:rsid w:val="00C5024B"/>
    <w:pPr>
      <w:keepNext/>
      <w:keepLines/>
      <w:numPr>
        <w:ilvl w:val="2"/>
        <w:numId w:val="6"/>
      </w:numPr>
      <w:suppressAutoHyphens/>
      <w:spacing w:before="480"/>
      <w:outlineLvl w:val="2"/>
    </w:pPr>
    <w:rPr>
      <w:b/>
      <w:bCs/>
    </w:rPr>
  </w:style>
  <w:style w:type="paragraph" w:customStyle="1" w:styleId="F9-nadpis2">
    <w:name w:val="F9 - nadpis 2"/>
    <w:basedOn w:val="F2-zkladn"/>
    <w:next w:val="F2-zkladn"/>
    <w:rsid w:val="00C5024B"/>
    <w:pPr>
      <w:keepNext/>
      <w:keepLines/>
      <w:numPr>
        <w:ilvl w:val="1"/>
        <w:numId w:val="6"/>
      </w:numPr>
      <w:suppressAutoHyphens/>
      <w:spacing w:before="480"/>
      <w:outlineLvl w:val="1"/>
    </w:pPr>
    <w:rPr>
      <w:b/>
      <w:bCs/>
    </w:rPr>
  </w:style>
  <w:style w:type="paragraph" w:customStyle="1" w:styleId="F10-nadpis1">
    <w:name w:val="F10 - nadpis 1"/>
    <w:basedOn w:val="F2-zkladn"/>
    <w:next w:val="F2-zkladn"/>
    <w:rsid w:val="00C5024B"/>
    <w:pPr>
      <w:keepNext/>
      <w:keepLines/>
      <w:numPr>
        <w:numId w:val="6"/>
      </w:numPr>
      <w:suppressAutoHyphens/>
      <w:spacing w:before="480"/>
      <w:outlineLvl w:val="0"/>
    </w:pPr>
    <w:rPr>
      <w:b/>
      <w:bCs/>
    </w:rPr>
  </w:style>
  <w:style w:type="paragraph" w:customStyle="1" w:styleId="F11-hlavnkapitola">
    <w:name w:val="F11 - hlavní kapitola"/>
    <w:basedOn w:val="F2-zkladn"/>
    <w:next w:val="F2-zkladn"/>
    <w:rsid w:val="00283AE5"/>
    <w:pPr>
      <w:keepNext/>
      <w:keepLines/>
      <w:numPr>
        <w:numId w:val="3"/>
      </w:numPr>
      <w:suppressAutoHyphens/>
      <w:spacing w:before="480"/>
    </w:pPr>
    <w:rPr>
      <w:b/>
      <w:caps/>
    </w:rPr>
  </w:style>
  <w:style w:type="table" w:customStyle="1" w:styleId="TabulkaHorwathbezzapati">
    <w:name w:val="Tabulka Horwath bez zapati"/>
    <w:basedOn w:val="Normlntabulka"/>
    <w:semiHidden/>
    <w:rsid w:val="00E03DC4"/>
    <w:tblPr/>
    <w:tblStylePr w:type="firstRow">
      <w:tblPr/>
      <w:tcPr>
        <w:tcBorders>
          <w:top w:val="single" w:sz="12" w:space="0" w:color="auto"/>
          <w:bottom w:val="single" w:sz="4" w:space="0" w:color="auto"/>
        </w:tcBorders>
      </w:tcPr>
    </w:tblStylePr>
    <w:tblStylePr w:type="lastRow">
      <w:tblPr/>
      <w:tcPr>
        <w:tcBorders>
          <w:bottom w:val="single" w:sz="12" w:space="0" w:color="auto"/>
        </w:tcBorders>
      </w:tcPr>
    </w:tblStylePr>
  </w:style>
  <w:style w:type="table" w:styleId="Mkatabulky">
    <w:name w:val="Table Grid"/>
    <w:basedOn w:val="Normlntabulka"/>
    <w:uiPriority w:val="39"/>
    <w:rsid w:val="00BF06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ulka1FormatZahlavi">
    <w:name w:val="Tabulka1_FormatZahlavi"/>
    <w:basedOn w:val="Normln"/>
    <w:semiHidden/>
    <w:rsid w:val="00284C66"/>
    <w:pPr>
      <w:widowControl w:val="0"/>
      <w:suppressAutoHyphens/>
      <w:spacing w:before="40" w:after="40"/>
      <w:jc w:val="center"/>
    </w:pPr>
    <w:rPr>
      <w:b/>
      <w:bCs/>
      <w:sz w:val="16"/>
    </w:rPr>
  </w:style>
  <w:style w:type="table" w:customStyle="1" w:styleId="TabulkaHorwathsezapatim">
    <w:name w:val="Tabulka Horwath se zapatim"/>
    <w:basedOn w:val="TabulkaHorwathbezzapati"/>
    <w:semiHidden/>
    <w:rsid w:val="003A2CC7"/>
    <w:tblPr/>
    <w:tblStylePr w:type="firstRow">
      <w:tblPr/>
      <w:tcPr>
        <w:tcBorders>
          <w:top w:val="single" w:sz="12" w:space="0" w:color="auto"/>
          <w:bottom w:val="single" w:sz="4" w:space="0" w:color="auto"/>
        </w:tcBorders>
      </w:tcPr>
    </w:tblStylePr>
    <w:tblStylePr w:type="lastRow">
      <w:tblPr/>
      <w:tcPr>
        <w:tcBorders>
          <w:top w:val="single" w:sz="4" w:space="0" w:color="auto"/>
          <w:bottom w:val="single" w:sz="12" w:space="0" w:color="auto"/>
        </w:tcBorders>
      </w:tcPr>
    </w:tblStylePr>
  </w:style>
  <w:style w:type="paragraph" w:customStyle="1" w:styleId="Tabulka1PrvniSloupec">
    <w:name w:val="Tabulka1_PrvniSloupec"/>
    <w:semiHidden/>
    <w:rsid w:val="00284C66"/>
    <w:pPr>
      <w:widowControl w:val="0"/>
      <w:suppressAutoHyphens/>
      <w:spacing w:before="40" w:after="40"/>
      <w:jc w:val="right"/>
    </w:pPr>
    <w:rPr>
      <w:rFonts w:ascii="Arial" w:hAnsi="Arial"/>
      <w:sz w:val="16"/>
      <w:szCs w:val="24"/>
    </w:rPr>
  </w:style>
  <w:style w:type="paragraph" w:customStyle="1" w:styleId="Tabulka1Zbytek">
    <w:name w:val="Tabulka1_Zbytek"/>
    <w:semiHidden/>
    <w:rsid w:val="00284C66"/>
    <w:pPr>
      <w:widowControl w:val="0"/>
      <w:suppressAutoHyphens/>
      <w:spacing w:before="40" w:after="40"/>
    </w:pPr>
    <w:rPr>
      <w:rFonts w:ascii="Arial" w:hAnsi="Arial"/>
      <w:sz w:val="16"/>
      <w:szCs w:val="16"/>
    </w:rPr>
  </w:style>
  <w:style w:type="numbering" w:styleId="111111">
    <w:name w:val="Outline List 2"/>
    <w:basedOn w:val="Bezseznamu"/>
    <w:semiHidden/>
    <w:rsid w:val="00794E4C"/>
    <w:pPr>
      <w:numPr>
        <w:numId w:val="7"/>
      </w:numPr>
    </w:pPr>
  </w:style>
  <w:style w:type="numbering" w:styleId="1ai">
    <w:name w:val="Outline List 1"/>
    <w:basedOn w:val="Bezseznamu"/>
    <w:semiHidden/>
    <w:rsid w:val="00794E4C"/>
    <w:pPr>
      <w:numPr>
        <w:numId w:val="8"/>
      </w:numPr>
    </w:pPr>
  </w:style>
  <w:style w:type="paragraph" w:styleId="AdresaHTML">
    <w:name w:val="HTML Address"/>
    <w:basedOn w:val="Normln"/>
    <w:semiHidden/>
    <w:rsid w:val="00794E4C"/>
    <w:rPr>
      <w:i/>
      <w:iCs/>
    </w:rPr>
  </w:style>
  <w:style w:type="paragraph" w:styleId="Adresanaoblku">
    <w:name w:val="envelope address"/>
    <w:basedOn w:val="Normln"/>
    <w:semiHidden/>
    <w:rsid w:val="00794E4C"/>
    <w:pPr>
      <w:framePr w:w="7920" w:h="1980" w:hRule="exact" w:hSpace="141" w:wrap="auto" w:hAnchor="page" w:xAlign="center" w:yAlign="bottom"/>
      <w:ind w:left="2880"/>
    </w:pPr>
  </w:style>
  <w:style w:type="character" w:styleId="AkronymHTML">
    <w:name w:val="HTML Acronym"/>
    <w:basedOn w:val="Standardnpsmoodstavce"/>
    <w:semiHidden/>
    <w:rsid w:val="00794E4C"/>
  </w:style>
  <w:style w:type="table" w:styleId="Barevntabulka1">
    <w:name w:val="Table Colorful 1"/>
    <w:basedOn w:val="Normlntabulka"/>
    <w:semiHidden/>
    <w:rsid w:val="00794E4C"/>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Barevntabulka2">
    <w:name w:val="Table Colorful 2"/>
    <w:basedOn w:val="Normlntabulka"/>
    <w:semiHidden/>
    <w:rsid w:val="00794E4C"/>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Barevntabulka3">
    <w:name w:val="Table Colorful 3"/>
    <w:basedOn w:val="Normlntabulka"/>
    <w:semiHidden/>
    <w:rsid w:val="00794E4C"/>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CittHTML">
    <w:name w:val="HTML Cite"/>
    <w:semiHidden/>
    <w:rsid w:val="00794E4C"/>
    <w:rPr>
      <w:i/>
      <w:iCs/>
    </w:rPr>
  </w:style>
  <w:style w:type="character" w:styleId="slodku">
    <w:name w:val="line number"/>
    <w:basedOn w:val="Standardnpsmoodstavce"/>
    <w:semiHidden/>
    <w:rsid w:val="00794E4C"/>
  </w:style>
  <w:style w:type="character" w:styleId="slostrnky">
    <w:name w:val="page number"/>
    <w:basedOn w:val="Standardnpsmoodstavce"/>
    <w:semiHidden/>
    <w:rsid w:val="00794E4C"/>
  </w:style>
  <w:style w:type="paragraph" w:styleId="slovanseznam">
    <w:name w:val="List Number"/>
    <w:basedOn w:val="Normln"/>
    <w:uiPriority w:val="99"/>
    <w:semiHidden/>
    <w:rsid w:val="00794E4C"/>
    <w:pPr>
      <w:numPr>
        <w:numId w:val="9"/>
      </w:numPr>
    </w:pPr>
  </w:style>
  <w:style w:type="paragraph" w:styleId="slovanseznam2">
    <w:name w:val="List Number 2"/>
    <w:basedOn w:val="Normln"/>
    <w:semiHidden/>
    <w:rsid w:val="00794E4C"/>
    <w:pPr>
      <w:numPr>
        <w:numId w:val="10"/>
      </w:numPr>
    </w:pPr>
  </w:style>
  <w:style w:type="paragraph" w:styleId="slovanseznam3">
    <w:name w:val="List Number 3"/>
    <w:basedOn w:val="Normln"/>
    <w:semiHidden/>
    <w:rsid w:val="00794E4C"/>
    <w:pPr>
      <w:numPr>
        <w:numId w:val="11"/>
      </w:numPr>
    </w:pPr>
  </w:style>
  <w:style w:type="paragraph" w:styleId="slovanseznam4">
    <w:name w:val="List Number 4"/>
    <w:basedOn w:val="Normln"/>
    <w:semiHidden/>
    <w:rsid w:val="00794E4C"/>
    <w:pPr>
      <w:numPr>
        <w:numId w:val="12"/>
      </w:numPr>
    </w:pPr>
  </w:style>
  <w:style w:type="paragraph" w:styleId="slovanseznam5">
    <w:name w:val="List Number 5"/>
    <w:basedOn w:val="Normln"/>
    <w:semiHidden/>
    <w:rsid w:val="00794E4C"/>
    <w:pPr>
      <w:numPr>
        <w:numId w:val="13"/>
      </w:numPr>
    </w:pPr>
  </w:style>
  <w:style w:type="numbering" w:styleId="lnekoddl">
    <w:name w:val="Outline List 3"/>
    <w:basedOn w:val="Bezseznamu"/>
    <w:semiHidden/>
    <w:rsid w:val="00794E4C"/>
    <w:pPr>
      <w:numPr>
        <w:numId w:val="14"/>
      </w:numPr>
    </w:pPr>
  </w:style>
  <w:style w:type="paragraph" w:styleId="Datum">
    <w:name w:val="Date"/>
    <w:basedOn w:val="Normln"/>
    <w:next w:val="Normln"/>
    <w:semiHidden/>
    <w:rsid w:val="00794E4C"/>
  </w:style>
  <w:style w:type="character" w:styleId="DefiniceHTML">
    <w:name w:val="HTML Definition"/>
    <w:semiHidden/>
    <w:rsid w:val="00794E4C"/>
    <w:rPr>
      <w:i/>
      <w:iCs/>
    </w:rPr>
  </w:style>
  <w:style w:type="table" w:styleId="Elegantntabulka">
    <w:name w:val="Table Elegant"/>
    <w:basedOn w:val="Normlntabulka"/>
    <w:semiHidden/>
    <w:rsid w:val="00794E4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FormtovanvHTML">
    <w:name w:val="HTML Preformatted"/>
    <w:basedOn w:val="Normln"/>
    <w:link w:val="FormtovanvHTMLChar"/>
    <w:uiPriority w:val="99"/>
    <w:rsid w:val="00794E4C"/>
    <w:rPr>
      <w:rFonts w:ascii="Courier New" w:hAnsi="Courier New" w:cs="Times New Roman"/>
    </w:rPr>
  </w:style>
  <w:style w:type="character" w:styleId="Hypertextovodkaz">
    <w:name w:val="Hyperlink"/>
    <w:uiPriority w:val="99"/>
    <w:rsid w:val="00794E4C"/>
    <w:rPr>
      <w:color w:val="0000FF"/>
      <w:u w:val="single"/>
    </w:rPr>
  </w:style>
  <w:style w:type="table" w:styleId="Jednoduchtabulka1">
    <w:name w:val="Table Simple 1"/>
    <w:basedOn w:val="Normlntabulka"/>
    <w:semiHidden/>
    <w:rsid w:val="00794E4C"/>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Jednoduchtabulka2">
    <w:name w:val="Table Simple 2"/>
    <w:basedOn w:val="Normlntabulka"/>
    <w:semiHidden/>
    <w:rsid w:val="00794E4C"/>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Jednoduchtabulka3">
    <w:name w:val="Table Simple 3"/>
    <w:basedOn w:val="Normlntabulka"/>
    <w:semiHidden/>
    <w:rsid w:val="00794E4C"/>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Klasicktabulka1">
    <w:name w:val="Table Classic 1"/>
    <w:basedOn w:val="Normlntabulka"/>
    <w:semiHidden/>
    <w:rsid w:val="00794E4C"/>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icktabulka2">
    <w:name w:val="Table Classic 2"/>
    <w:basedOn w:val="Normlntabulka"/>
    <w:semiHidden/>
    <w:rsid w:val="00794E4C"/>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icktabulka3">
    <w:name w:val="Table Classic 3"/>
    <w:basedOn w:val="Normlntabulka"/>
    <w:semiHidden/>
    <w:rsid w:val="00794E4C"/>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icktabulka4">
    <w:name w:val="Table Classic 4"/>
    <w:basedOn w:val="Normlntabulka"/>
    <w:semiHidden/>
    <w:rsid w:val="00794E4C"/>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KlvesniceHTML">
    <w:name w:val="HTML Keyboard"/>
    <w:semiHidden/>
    <w:rsid w:val="00794E4C"/>
    <w:rPr>
      <w:rFonts w:ascii="Courier New" w:hAnsi="Courier New" w:cs="Courier New"/>
      <w:sz w:val="20"/>
      <w:szCs w:val="20"/>
    </w:rPr>
  </w:style>
  <w:style w:type="character" w:styleId="KdHTML">
    <w:name w:val="HTML Code"/>
    <w:semiHidden/>
    <w:rsid w:val="00794E4C"/>
    <w:rPr>
      <w:rFonts w:ascii="Courier New" w:hAnsi="Courier New" w:cs="Courier New"/>
      <w:sz w:val="20"/>
      <w:szCs w:val="20"/>
    </w:rPr>
  </w:style>
  <w:style w:type="table" w:styleId="Moderntabulka">
    <w:name w:val="Table Contemporary"/>
    <w:basedOn w:val="Normlntabulka"/>
    <w:semiHidden/>
    <w:rsid w:val="00794E4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otivtabulky">
    <w:name w:val="Table Theme"/>
    <w:basedOn w:val="Normlntabulka"/>
    <w:semiHidden/>
    <w:rsid w:val="00794E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katabulky1">
    <w:name w:val="Table Grid 1"/>
    <w:basedOn w:val="Normlntabulka"/>
    <w:semiHidden/>
    <w:rsid w:val="00794E4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Mkatabulky2">
    <w:name w:val="Table Grid 2"/>
    <w:basedOn w:val="Normlntabulka"/>
    <w:semiHidden/>
    <w:rsid w:val="00794E4C"/>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Mkatabulky3">
    <w:name w:val="Table Grid 3"/>
    <w:basedOn w:val="Normlntabulka"/>
    <w:semiHidden/>
    <w:rsid w:val="00794E4C"/>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Mkatabulky4">
    <w:name w:val="Table Grid 4"/>
    <w:basedOn w:val="Normlntabulka"/>
    <w:semiHidden/>
    <w:rsid w:val="00794E4C"/>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Mkatabulky5">
    <w:name w:val="Table Grid 5"/>
    <w:basedOn w:val="Normlntabulka"/>
    <w:semiHidden/>
    <w:rsid w:val="00794E4C"/>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Mkatabulky6">
    <w:name w:val="Table Grid 6"/>
    <w:basedOn w:val="Normlntabulka"/>
    <w:semiHidden/>
    <w:rsid w:val="00794E4C"/>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Mkatabulky7">
    <w:name w:val="Table Grid 7"/>
    <w:basedOn w:val="Normlntabulka"/>
    <w:semiHidden/>
    <w:rsid w:val="00794E4C"/>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Mkatabulky8">
    <w:name w:val="Table Grid 8"/>
    <w:basedOn w:val="Normlntabulka"/>
    <w:semiHidden/>
    <w:rsid w:val="00794E4C"/>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Nadpispoznmky">
    <w:name w:val="Note Heading"/>
    <w:basedOn w:val="Normln"/>
    <w:next w:val="Normln"/>
    <w:semiHidden/>
    <w:rsid w:val="00794E4C"/>
  </w:style>
  <w:style w:type="paragraph" w:styleId="Nzev">
    <w:name w:val="Title"/>
    <w:basedOn w:val="Normln"/>
    <w:link w:val="NzevChar"/>
    <w:uiPriority w:val="10"/>
    <w:qFormat/>
    <w:rsid w:val="00794E4C"/>
    <w:pPr>
      <w:spacing w:after="60"/>
      <w:jc w:val="center"/>
      <w:outlineLvl w:val="0"/>
    </w:pPr>
    <w:rPr>
      <w:b/>
      <w:bCs/>
      <w:kern w:val="28"/>
      <w:sz w:val="32"/>
      <w:szCs w:val="32"/>
    </w:rPr>
  </w:style>
  <w:style w:type="paragraph" w:styleId="Normlnweb">
    <w:name w:val="Normal (Web)"/>
    <w:basedOn w:val="Normln"/>
    <w:uiPriority w:val="99"/>
    <w:rsid w:val="00794E4C"/>
  </w:style>
  <w:style w:type="paragraph" w:styleId="Normlnodsazen">
    <w:name w:val="Normal Indent"/>
    <w:basedOn w:val="Normln"/>
    <w:semiHidden/>
    <w:rsid w:val="00794E4C"/>
    <w:pPr>
      <w:ind w:left="708"/>
    </w:pPr>
  </w:style>
  <w:style w:type="paragraph" w:styleId="Osloven">
    <w:name w:val="Salutation"/>
    <w:basedOn w:val="Normln"/>
    <w:next w:val="Normln"/>
    <w:semiHidden/>
    <w:rsid w:val="00794E4C"/>
  </w:style>
  <w:style w:type="paragraph" w:styleId="Podpis">
    <w:name w:val="Signature"/>
    <w:basedOn w:val="Normln"/>
    <w:semiHidden/>
    <w:rsid w:val="00794E4C"/>
    <w:pPr>
      <w:ind w:left="4252"/>
    </w:pPr>
  </w:style>
  <w:style w:type="paragraph" w:styleId="Podpise-mailu">
    <w:name w:val="E-mail Signature"/>
    <w:basedOn w:val="Normln"/>
    <w:semiHidden/>
    <w:rsid w:val="00794E4C"/>
  </w:style>
  <w:style w:type="paragraph" w:styleId="Podnadpis">
    <w:name w:val="Subtitle"/>
    <w:basedOn w:val="Normln"/>
    <w:qFormat/>
    <w:rsid w:val="00794E4C"/>
    <w:pPr>
      <w:spacing w:after="60"/>
      <w:jc w:val="center"/>
      <w:outlineLvl w:val="1"/>
    </w:pPr>
  </w:style>
  <w:style w:type="paragraph" w:styleId="Pokraovnseznamu">
    <w:name w:val="List Continue"/>
    <w:basedOn w:val="Normln"/>
    <w:semiHidden/>
    <w:rsid w:val="00794E4C"/>
    <w:pPr>
      <w:spacing w:after="120"/>
      <w:ind w:left="283"/>
    </w:pPr>
  </w:style>
  <w:style w:type="paragraph" w:styleId="Pokraovnseznamu2">
    <w:name w:val="List Continue 2"/>
    <w:basedOn w:val="Normln"/>
    <w:semiHidden/>
    <w:rsid w:val="00794E4C"/>
    <w:pPr>
      <w:spacing w:after="120"/>
      <w:ind w:left="566"/>
    </w:pPr>
  </w:style>
  <w:style w:type="paragraph" w:styleId="Pokraovnseznamu3">
    <w:name w:val="List Continue 3"/>
    <w:basedOn w:val="Normln"/>
    <w:semiHidden/>
    <w:rsid w:val="00794E4C"/>
    <w:pPr>
      <w:spacing w:after="120"/>
      <w:ind w:left="849"/>
    </w:pPr>
  </w:style>
  <w:style w:type="paragraph" w:styleId="Pokraovnseznamu4">
    <w:name w:val="List Continue 4"/>
    <w:basedOn w:val="Normln"/>
    <w:semiHidden/>
    <w:rsid w:val="00794E4C"/>
    <w:pPr>
      <w:spacing w:after="120"/>
      <w:ind w:left="1132"/>
    </w:pPr>
  </w:style>
  <w:style w:type="paragraph" w:styleId="Pokraovnseznamu5">
    <w:name w:val="List Continue 5"/>
    <w:basedOn w:val="Normln"/>
    <w:semiHidden/>
    <w:rsid w:val="00794E4C"/>
    <w:pPr>
      <w:spacing w:after="120"/>
      <w:ind w:left="1415"/>
    </w:pPr>
  </w:style>
  <w:style w:type="table" w:styleId="Profesionlntabulka">
    <w:name w:val="Table Professional"/>
    <w:basedOn w:val="Normlntabulka"/>
    <w:semiHidden/>
    <w:rsid w:val="00794E4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PromnnHTML">
    <w:name w:val="HTML Variable"/>
    <w:semiHidden/>
    <w:rsid w:val="00794E4C"/>
    <w:rPr>
      <w:i/>
      <w:iCs/>
    </w:rPr>
  </w:style>
  <w:style w:type="paragraph" w:styleId="Prosttext">
    <w:name w:val="Plain Text"/>
    <w:basedOn w:val="Normln"/>
    <w:semiHidden/>
    <w:rsid w:val="00794E4C"/>
    <w:rPr>
      <w:rFonts w:ascii="Courier New" w:hAnsi="Courier New" w:cs="Courier New"/>
    </w:rPr>
  </w:style>
  <w:style w:type="character" w:styleId="PsacstrojHTML">
    <w:name w:val="HTML Typewriter"/>
    <w:semiHidden/>
    <w:rsid w:val="00794E4C"/>
    <w:rPr>
      <w:rFonts w:ascii="Courier New" w:hAnsi="Courier New" w:cs="Courier New"/>
      <w:sz w:val="20"/>
      <w:szCs w:val="20"/>
    </w:rPr>
  </w:style>
  <w:style w:type="paragraph" w:styleId="Seznam">
    <w:name w:val="List"/>
    <w:basedOn w:val="Normln"/>
    <w:semiHidden/>
    <w:rsid w:val="00794E4C"/>
    <w:pPr>
      <w:ind w:left="283" w:hanging="283"/>
    </w:pPr>
  </w:style>
  <w:style w:type="paragraph" w:styleId="Seznam2">
    <w:name w:val="List 2"/>
    <w:basedOn w:val="Normln"/>
    <w:semiHidden/>
    <w:rsid w:val="00794E4C"/>
    <w:pPr>
      <w:ind w:left="566" w:hanging="283"/>
    </w:pPr>
  </w:style>
  <w:style w:type="paragraph" w:styleId="Seznam3">
    <w:name w:val="List 3"/>
    <w:basedOn w:val="Normln"/>
    <w:semiHidden/>
    <w:rsid w:val="00794E4C"/>
    <w:pPr>
      <w:ind w:left="849" w:hanging="283"/>
    </w:pPr>
  </w:style>
  <w:style w:type="paragraph" w:styleId="Seznam4">
    <w:name w:val="List 4"/>
    <w:basedOn w:val="Normln"/>
    <w:semiHidden/>
    <w:rsid w:val="00794E4C"/>
    <w:pPr>
      <w:ind w:left="1132" w:hanging="283"/>
    </w:pPr>
  </w:style>
  <w:style w:type="paragraph" w:styleId="Seznam5">
    <w:name w:val="List 5"/>
    <w:basedOn w:val="Normln"/>
    <w:semiHidden/>
    <w:rsid w:val="00794E4C"/>
    <w:pPr>
      <w:ind w:left="1415" w:hanging="283"/>
    </w:pPr>
  </w:style>
  <w:style w:type="paragraph" w:styleId="Seznamsodrkami">
    <w:name w:val="List Bullet"/>
    <w:basedOn w:val="Normln"/>
    <w:semiHidden/>
    <w:rsid w:val="00794E4C"/>
    <w:pPr>
      <w:numPr>
        <w:numId w:val="15"/>
      </w:numPr>
    </w:pPr>
  </w:style>
  <w:style w:type="paragraph" w:styleId="Seznamsodrkami2">
    <w:name w:val="List Bullet 2"/>
    <w:basedOn w:val="Normln"/>
    <w:semiHidden/>
    <w:rsid w:val="00794E4C"/>
    <w:pPr>
      <w:numPr>
        <w:numId w:val="16"/>
      </w:numPr>
    </w:pPr>
  </w:style>
  <w:style w:type="paragraph" w:styleId="Seznamsodrkami3">
    <w:name w:val="List Bullet 3"/>
    <w:basedOn w:val="Normln"/>
    <w:semiHidden/>
    <w:rsid w:val="00794E4C"/>
    <w:pPr>
      <w:numPr>
        <w:numId w:val="17"/>
      </w:numPr>
    </w:pPr>
  </w:style>
  <w:style w:type="paragraph" w:styleId="Seznamsodrkami4">
    <w:name w:val="List Bullet 4"/>
    <w:basedOn w:val="Normln"/>
    <w:semiHidden/>
    <w:rsid w:val="00794E4C"/>
    <w:pPr>
      <w:numPr>
        <w:numId w:val="18"/>
      </w:numPr>
    </w:pPr>
  </w:style>
  <w:style w:type="paragraph" w:styleId="Seznamsodrkami5">
    <w:name w:val="List Bullet 5"/>
    <w:basedOn w:val="Normln"/>
    <w:semiHidden/>
    <w:rsid w:val="00794E4C"/>
    <w:pPr>
      <w:numPr>
        <w:numId w:val="19"/>
      </w:numPr>
    </w:pPr>
  </w:style>
  <w:style w:type="character" w:styleId="Siln">
    <w:name w:val="Strong"/>
    <w:uiPriority w:val="22"/>
    <w:qFormat/>
    <w:rsid w:val="00794E4C"/>
    <w:rPr>
      <w:b/>
      <w:bCs/>
    </w:rPr>
  </w:style>
  <w:style w:type="character" w:styleId="Sledovanodkaz">
    <w:name w:val="FollowedHyperlink"/>
    <w:semiHidden/>
    <w:rsid w:val="00794E4C"/>
    <w:rPr>
      <w:color w:val="800080"/>
      <w:u w:val="single"/>
    </w:rPr>
  </w:style>
  <w:style w:type="table" w:styleId="Sloupcetabulky1">
    <w:name w:val="Table Columns 1"/>
    <w:basedOn w:val="Normlntabulka"/>
    <w:semiHidden/>
    <w:rsid w:val="00794E4C"/>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loupcetabulky2">
    <w:name w:val="Table Columns 2"/>
    <w:basedOn w:val="Normlntabulka"/>
    <w:semiHidden/>
    <w:rsid w:val="00794E4C"/>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loupcetabulky3">
    <w:name w:val="Table Columns 3"/>
    <w:basedOn w:val="Normlntabulka"/>
    <w:semiHidden/>
    <w:rsid w:val="00794E4C"/>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Sloupcetabulky4">
    <w:name w:val="Table Columns 4"/>
    <w:basedOn w:val="Normlntabulka"/>
    <w:semiHidden/>
    <w:rsid w:val="00794E4C"/>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Sloupcetabulky5">
    <w:name w:val="Table Columns 5"/>
    <w:basedOn w:val="Normlntabulka"/>
    <w:semiHidden/>
    <w:rsid w:val="00794E4C"/>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ulkajakoseznam1">
    <w:name w:val="Table List 1"/>
    <w:basedOn w:val="Normlntabulka"/>
    <w:semiHidden/>
    <w:rsid w:val="00794E4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jakoseznam2">
    <w:name w:val="Table List 2"/>
    <w:basedOn w:val="Normlntabulka"/>
    <w:semiHidden/>
    <w:rsid w:val="00794E4C"/>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jakoseznam3">
    <w:name w:val="Table List 3"/>
    <w:basedOn w:val="Normlntabulka"/>
    <w:semiHidden/>
    <w:rsid w:val="00794E4C"/>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ulkajakoseznam4">
    <w:name w:val="Table List 4"/>
    <w:basedOn w:val="Normlntabulka"/>
    <w:semiHidden/>
    <w:rsid w:val="00794E4C"/>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ulkajakoseznam5">
    <w:name w:val="Table List 5"/>
    <w:basedOn w:val="Normlntabulka"/>
    <w:semiHidden/>
    <w:rsid w:val="00794E4C"/>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ulkajakoseznam6">
    <w:name w:val="Table List 6"/>
    <w:basedOn w:val="Normlntabulka"/>
    <w:semiHidden/>
    <w:rsid w:val="00794E4C"/>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ulkajakoseznam7">
    <w:name w:val="Table List 7"/>
    <w:basedOn w:val="Normlntabulka"/>
    <w:semiHidden/>
    <w:rsid w:val="00794E4C"/>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ulkajakoseznam8">
    <w:name w:val="Table List 8"/>
    <w:basedOn w:val="Normlntabulka"/>
    <w:semiHidden/>
    <w:rsid w:val="00794E4C"/>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ulkasprostorovmiefekty1">
    <w:name w:val="Table 3D effects 1"/>
    <w:basedOn w:val="Normlntabulka"/>
    <w:semiHidden/>
    <w:rsid w:val="00794E4C"/>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ulkasprostorovmiefekty2">
    <w:name w:val="Table 3D effects 2"/>
    <w:basedOn w:val="Normlntabulka"/>
    <w:semiHidden/>
    <w:rsid w:val="00794E4C"/>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prostorovmiefekty3">
    <w:name w:val="Table 3D effects 3"/>
    <w:basedOn w:val="Normlntabulka"/>
    <w:semiHidden/>
    <w:rsid w:val="00794E4C"/>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tlumenmibarvami1">
    <w:name w:val="Table Subtle 1"/>
    <w:basedOn w:val="Normlntabulka"/>
    <w:semiHidden/>
    <w:rsid w:val="00794E4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tlumenmibarvami2">
    <w:name w:val="Table Subtle 2"/>
    <w:basedOn w:val="Normlntabulka"/>
    <w:semiHidden/>
    <w:rsid w:val="00794E4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extvbloku">
    <w:name w:val="Block Text"/>
    <w:basedOn w:val="Normln"/>
    <w:semiHidden/>
    <w:rsid w:val="00794E4C"/>
    <w:pPr>
      <w:spacing w:after="120"/>
      <w:ind w:left="1440" w:right="1440"/>
    </w:pPr>
  </w:style>
  <w:style w:type="character" w:styleId="UkzkaHTML">
    <w:name w:val="HTML Sample"/>
    <w:semiHidden/>
    <w:rsid w:val="00794E4C"/>
    <w:rPr>
      <w:rFonts w:ascii="Courier New" w:hAnsi="Courier New" w:cs="Courier New"/>
    </w:rPr>
  </w:style>
  <w:style w:type="table" w:styleId="Webovtabulka1">
    <w:name w:val="Table Web 1"/>
    <w:basedOn w:val="Normlntabulka"/>
    <w:semiHidden/>
    <w:rsid w:val="00794E4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ovtabulka2">
    <w:name w:val="Table Web 2"/>
    <w:basedOn w:val="Normlntabulka"/>
    <w:semiHidden/>
    <w:rsid w:val="00794E4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ovtabulka3">
    <w:name w:val="Table Web 3"/>
    <w:basedOn w:val="Normlntabulka"/>
    <w:semiHidden/>
    <w:rsid w:val="00794E4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Zhlav">
    <w:name w:val="header"/>
    <w:basedOn w:val="Normln"/>
    <w:semiHidden/>
    <w:rsid w:val="00794E4C"/>
    <w:pPr>
      <w:tabs>
        <w:tab w:val="center" w:pos="4536"/>
        <w:tab w:val="right" w:pos="9072"/>
      </w:tabs>
    </w:pPr>
  </w:style>
  <w:style w:type="paragraph" w:styleId="Zhlavzprvy">
    <w:name w:val="Message Header"/>
    <w:basedOn w:val="Normln"/>
    <w:semiHidden/>
    <w:rsid w:val="00794E4C"/>
    <w:pPr>
      <w:pBdr>
        <w:top w:val="single" w:sz="6" w:space="1" w:color="auto"/>
        <w:left w:val="single" w:sz="6" w:space="1" w:color="auto"/>
        <w:bottom w:val="single" w:sz="6" w:space="1" w:color="auto"/>
        <w:right w:val="single" w:sz="6" w:space="1" w:color="auto"/>
      </w:pBdr>
      <w:shd w:val="pct20" w:color="auto" w:fill="auto"/>
      <w:ind w:left="1134" w:hanging="1134"/>
    </w:pPr>
  </w:style>
  <w:style w:type="paragraph" w:styleId="Zkladntext">
    <w:name w:val="Body Text"/>
    <w:basedOn w:val="Normln"/>
    <w:semiHidden/>
    <w:rsid w:val="00794E4C"/>
    <w:pPr>
      <w:spacing w:after="120"/>
    </w:pPr>
  </w:style>
  <w:style w:type="paragraph" w:styleId="Zkladntext-prvnodsazen">
    <w:name w:val="Body Text First Indent"/>
    <w:basedOn w:val="Zkladntext"/>
    <w:semiHidden/>
    <w:rsid w:val="00794E4C"/>
    <w:pPr>
      <w:ind w:firstLine="210"/>
    </w:pPr>
  </w:style>
  <w:style w:type="paragraph" w:styleId="Zkladntextodsazen">
    <w:name w:val="Body Text Indent"/>
    <w:basedOn w:val="Normln"/>
    <w:semiHidden/>
    <w:rsid w:val="00794E4C"/>
    <w:pPr>
      <w:spacing w:after="120"/>
      <w:ind w:left="283"/>
    </w:pPr>
  </w:style>
  <w:style w:type="paragraph" w:styleId="Zkladntext-prvnodsazen2">
    <w:name w:val="Body Text First Indent 2"/>
    <w:basedOn w:val="Zkladntextodsazen"/>
    <w:semiHidden/>
    <w:rsid w:val="00794E4C"/>
    <w:pPr>
      <w:ind w:firstLine="210"/>
    </w:pPr>
  </w:style>
  <w:style w:type="paragraph" w:styleId="Zkladntext2">
    <w:name w:val="Body Text 2"/>
    <w:basedOn w:val="Normln"/>
    <w:semiHidden/>
    <w:rsid w:val="00794E4C"/>
    <w:pPr>
      <w:spacing w:after="120" w:line="480" w:lineRule="auto"/>
    </w:pPr>
  </w:style>
  <w:style w:type="paragraph" w:styleId="Zkladntext3">
    <w:name w:val="Body Text 3"/>
    <w:basedOn w:val="Normln"/>
    <w:semiHidden/>
    <w:rsid w:val="00794E4C"/>
    <w:pPr>
      <w:spacing w:after="120"/>
    </w:pPr>
    <w:rPr>
      <w:sz w:val="16"/>
      <w:szCs w:val="16"/>
    </w:rPr>
  </w:style>
  <w:style w:type="paragraph" w:styleId="Zkladntextodsazen2">
    <w:name w:val="Body Text Indent 2"/>
    <w:basedOn w:val="Normln"/>
    <w:semiHidden/>
    <w:rsid w:val="00794E4C"/>
    <w:pPr>
      <w:spacing w:after="120" w:line="480" w:lineRule="auto"/>
      <w:ind w:left="283"/>
    </w:pPr>
  </w:style>
  <w:style w:type="paragraph" w:styleId="Zkladntextodsazen3">
    <w:name w:val="Body Text Indent 3"/>
    <w:basedOn w:val="Normln"/>
    <w:semiHidden/>
    <w:rsid w:val="00794E4C"/>
    <w:pPr>
      <w:spacing w:after="120"/>
      <w:ind w:left="283"/>
    </w:pPr>
    <w:rPr>
      <w:sz w:val="16"/>
      <w:szCs w:val="16"/>
    </w:rPr>
  </w:style>
  <w:style w:type="paragraph" w:styleId="Zpat">
    <w:name w:val="footer"/>
    <w:basedOn w:val="Normln"/>
    <w:semiHidden/>
    <w:rsid w:val="00794E4C"/>
    <w:pPr>
      <w:tabs>
        <w:tab w:val="center" w:pos="4536"/>
        <w:tab w:val="right" w:pos="9072"/>
      </w:tabs>
    </w:pPr>
  </w:style>
  <w:style w:type="paragraph" w:styleId="Zvr">
    <w:name w:val="Closing"/>
    <w:basedOn w:val="Normln"/>
    <w:semiHidden/>
    <w:rsid w:val="00794E4C"/>
    <w:pPr>
      <w:ind w:left="4252"/>
    </w:pPr>
  </w:style>
  <w:style w:type="paragraph" w:styleId="Zptenadresanaoblku">
    <w:name w:val="envelope return"/>
    <w:basedOn w:val="Normln"/>
    <w:semiHidden/>
    <w:rsid w:val="00794E4C"/>
  </w:style>
  <w:style w:type="character" w:customStyle="1" w:styleId="Zvraznn">
    <w:name w:val="Zvýraznění"/>
    <w:qFormat/>
    <w:rsid w:val="00794E4C"/>
    <w:rPr>
      <w:i/>
      <w:iCs/>
    </w:rPr>
  </w:style>
  <w:style w:type="paragraph" w:customStyle="1" w:styleId="F-nadpis4">
    <w:name w:val="F - nadpis 4"/>
    <w:basedOn w:val="F2-zkladn"/>
    <w:next w:val="F2-zkladn"/>
    <w:rsid w:val="00C5024B"/>
    <w:pPr>
      <w:keepNext/>
      <w:keepLines/>
      <w:numPr>
        <w:ilvl w:val="3"/>
        <w:numId w:val="6"/>
      </w:numPr>
      <w:suppressAutoHyphens/>
      <w:spacing w:before="480"/>
      <w:outlineLvl w:val="3"/>
    </w:pPr>
    <w:rPr>
      <w:b/>
    </w:rPr>
  </w:style>
  <w:style w:type="table" w:customStyle="1" w:styleId="F-tabulka">
    <w:name w:val="F - tabulka"/>
    <w:basedOn w:val="Normlntabulka"/>
    <w:rsid w:val="00454D44"/>
    <w:rPr>
      <w:rFonts w:ascii="Arial" w:hAnsi="Arial" w:cs="Arial"/>
      <w:sz w:val="16"/>
    </w:rPr>
    <w:tblPr>
      <w:tblBorders>
        <w:bottom w:val="single" w:sz="12" w:space="0" w:color="000080"/>
      </w:tblBorders>
      <w:tblCellMar>
        <w:left w:w="68" w:type="dxa"/>
        <w:right w:w="68" w:type="dxa"/>
      </w:tblCellMar>
    </w:tblPr>
    <w:tcPr>
      <w:shd w:val="clear" w:color="auto" w:fill="auto"/>
    </w:tcPr>
    <w:tblStylePr w:type="firstRow">
      <w:rPr>
        <w:b/>
      </w:rPr>
      <w:tblPr/>
      <w:trPr>
        <w:tblHeader/>
      </w:trPr>
      <w:tcPr>
        <w:tcBorders>
          <w:top w:val="nil"/>
          <w:left w:val="nil"/>
          <w:bottom w:val="nil"/>
          <w:right w:val="nil"/>
          <w:insideH w:val="nil"/>
          <w:insideV w:val="nil"/>
          <w:tl2br w:val="nil"/>
          <w:tr2bl w:val="nil"/>
        </w:tcBorders>
        <w:shd w:val="clear" w:color="auto" w:fill="000080"/>
      </w:tcPr>
    </w:tblStylePr>
    <w:tblStylePr w:type="firstCol">
      <w:pPr>
        <w:jc w:val="left"/>
      </w:pPr>
    </w:tblStylePr>
  </w:style>
  <w:style w:type="paragraph" w:customStyle="1" w:styleId="F-nadpis5">
    <w:name w:val="F - nadpis 5"/>
    <w:basedOn w:val="F2-zkladn"/>
    <w:next w:val="F2-zkladn"/>
    <w:rsid w:val="009145F6"/>
    <w:pPr>
      <w:keepNext/>
      <w:keepLines/>
      <w:tabs>
        <w:tab w:val="left" w:pos="794"/>
      </w:tabs>
      <w:suppressAutoHyphens/>
      <w:spacing w:before="480"/>
      <w:outlineLvl w:val="4"/>
    </w:pPr>
    <w:rPr>
      <w:b/>
      <w:bCs/>
    </w:rPr>
  </w:style>
  <w:style w:type="paragraph" w:styleId="Obsah1">
    <w:name w:val="toc 1"/>
    <w:basedOn w:val="Normln"/>
    <w:next w:val="Normln"/>
    <w:autoRedefine/>
    <w:semiHidden/>
    <w:rsid w:val="001A7DE3"/>
    <w:pPr>
      <w:tabs>
        <w:tab w:val="left" w:pos="794"/>
        <w:tab w:val="right" w:leader="dot" w:pos="9072"/>
      </w:tabs>
      <w:spacing w:before="120" w:after="120" w:line="360" w:lineRule="auto"/>
      <w:ind w:left="794" w:hanging="794"/>
    </w:pPr>
    <w:rPr>
      <w:b/>
      <w:bCs/>
      <w:caps/>
      <w:noProof/>
      <w:lang w:val="de-DE"/>
    </w:rPr>
  </w:style>
  <w:style w:type="paragraph" w:styleId="Obsah2">
    <w:name w:val="toc 2"/>
    <w:basedOn w:val="Obsah1"/>
    <w:next w:val="Normln"/>
    <w:autoRedefine/>
    <w:semiHidden/>
    <w:rsid w:val="00C77777"/>
    <w:pPr>
      <w:spacing w:before="60" w:after="0" w:line="240" w:lineRule="auto"/>
    </w:pPr>
    <w:rPr>
      <w:b w:val="0"/>
      <w:caps w:val="0"/>
      <w:lang w:val="de-AT"/>
    </w:rPr>
  </w:style>
  <w:style w:type="paragraph" w:styleId="Obsah3">
    <w:name w:val="toc 3"/>
    <w:basedOn w:val="Obsah2"/>
    <w:next w:val="Normln"/>
    <w:autoRedefine/>
    <w:semiHidden/>
    <w:rsid w:val="00C77777"/>
    <w:pPr>
      <w:spacing w:before="0"/>
    </w:pPr>
  </w:style>
  <w:style w:type="paragraph" w:styleId="Textpoznpodarou">
    <w:name w:val="footnote text"/>
    <w:basedOn w:val="F-poznmkapodarou"/>
    <w:next w:val="F-poznmkapodarou"/>
    <w:link w:val="TextpoznpodarouChar"/>
    <w:uiPriority w:val="99"/>
    <w:semiHidden/>
    <w:rsid w:val="004202CB"/>
  </w:style>
  <w:style w:type="character" w:styleId="Znakapoznpodarou">
    <w:name w:val="footnote reference"/>
    <w:uiPriority w:val="99"/>
    <w:semiHidden/>
    <w:rsid w:val="009145F6"/>
    <w:rPr>
      <w:vertAlign w:val="superscript"/>
    </w:rPr>
  </w:style>
  <w:style w:type="paragraph" w:customStyle="1" w:styleId="F-zpat">
    <w:name w:val="F - zápatí"/>
    <w:basedOn w:val="F2-zkladn"/>
    <w:link w:val="F-zpatCharChar"/>
    <w:rsid w:val="00C941AD"/>
    <w:pPr>
      <w:spacing w:before="0" w:line="200" w:lineRule="exact"/>
      <w:jc w:val="center"/>
    </w:pPr>
    <w:rPr>
      <w:sz w:val="16"/>
      <w:szCs w:val="16"/>
    </w:rPr>
  </w:style>
  <w:style w:type="character" w:customStyle="1" w:styleId="F2-zkladnCharChar">
    <w:name w:val="F2 - základní Char Char"/>
    <w:link w:val="F2-zkladn"/>
    <w:rsid w:val="00D74098"/>
    <w:rPr>
      <w:rFonts w:ascii="Arial" w:hAnsi="Arial" w:cs="Arial"/>
      <w:lang w:val="cs-CZ" w:eastAsia="cs-CZ" w:bidi="ar-SA"/>
    </w:rPr>
  </w:style>
  <w:style w:type="character" w:customStyle="1" w:styleId="F-zpatCharChar">
    <w:name w:val="F - zápatí Char Char"/>
    <w:link w:val="F-zpat"/>
    <w:rsid w:val="00E71F11"/>
    <w:rPr>
      <w:rFonts w:ascii="Arial" w:hAnsi="Arial" w:cs="Arial"/>
      <w:sz w:val="16"/>
      <w:szCs w:val="16"/>
      <w:lang w:val="cs-CZ" w:eastAsia="cs-CZ" w:bidi="ar-SA"/>
    </w:rPr>
  </w:style>
  <w:style w:type="paragraph" w:customStyle="1" w:styleId="F-poznmkapodarou">
    <w:name w:val="F - poznámka pod čarou"/>
    <w:basedOn w:val="F-zpat"/>
    <w:rsid w:val="009145F6"/>
    <w:pPr>
      <w:jc w:val="left"/>
    </w:pPr>
  </w:style>
  <w:style w:type="paragraph" w:customStyle="1" w:styleId="F-zdroj">
    <w:name w:val="F - zdroj"/>
    <w:basedOn w:val="F2-zkladn"/>
    <w:next w:val="F2-zkladn"/>
    <w:rsid w:val="00040CE8"/>
    <w:pPr>
      <w:spacing w:before="60" w:line="200" w:lineRule="exact"/>
    </w:pPr>
    <w:rPr>
      <w:i/>
      <w:sz w:val="16"/>
    </w:rPr>
  </w:style>
  <w:style w:type="paragraph" w:customStyle="1" w:styleId="F-titul">
    <w:name w:val="F - titul"/>
    <w:basedOn w:val="F2-zkladn"/>
    <w:next w:val="F2-zkladn"/>
    <w:rsid w:val="00D32759"/>
    <w:pPr>
      <w:keepNext/>
      <w:keepLines/>
      <w:suppressAutoHyphens/>
      <w:spacing w:before="480" w:line="400" w:lineRule="exact"/>
    </w:pPr>
    <w:rPr>
      <w:b/>
      <w:sz w:val="32"/>
    </w:rPr>
  </w:style>
  <w:style w:type="paragraph" w:styleId="Obsah4">
    <w:name w:val="toc 4"/>
    <w:basedOn w:val="Obsah3"/>
    <w:next w:val="Normln"/>
    <w:autoRedefine/>
    <w:semiHidden/>
    <w:rsid w:val="00C77777"/>
  </w:style>
  <w:style w:type="paragraph" w:styleId="Obsah5">
    <w:name w:val="toc 5"/>
    <w:basedOn w:val="Normln"/>
    <w:next w:val="Normln"/>
    <w:autoRedefine/>
    <w:semiHidden/>
    <w:rsid w:val="00C77777"/>
    <w:pPr>
      <w:tabs>
        <w:tab w:val="left" w:pos="794"/>
        <w:tab w:val="right" w:leader="dot" w:pos="9060"/>
      </w:tabs>
      <w:ind w:left="794"/>
    </w:pPr>
  </w:style>
  <w:style w:type="paragraph" w:customStyle="1" w:styleId="F2Alt-texttabulky">
    <w:name w:val="F2+Alt - text tabulky"/>
    <w:basedOn w:val="F2-zkladn"/>
    <w:rsid w:val="00920F36"/>
    <w:pPr>
      <w:widowControl w:val="0"/>
      <w:suppressAutoHyphens/>
      <w:spacing w:before="40" w:after="40" w:line="240" w:lineRule="auto"/>
      <w:jc w:val="left"/>
    </w:pPr>
    <w:rPr>
      <w:sz w:val="16"/>
      <w:szCs w:val="16"/>
    </w:rPr>
  </w:style>
  <w:style w:type="paragraph" w:styleId="Textbubliny">
    <w:name w:val="Balloon Text"/>
    <w:basedOn w:val="Normln"/>
    <w:link w:val="TextbublinyChar"/>
    <w:rsid w:val="00E14EC2"/>
    <w:pPr>
      <w:spacing w:before="0" w:line="240" w:lineRule="auto"/>
    </w:pPr>
    <w:rPr>
      <w:rFonts w:ascii="Tahoma" w:hAnsi="Tahoma" w:cs="Times New Roman"/>
      <w:sz w:val="16"/>
      <w:szCs w:val="16"/>
    </w:rPr>
  </w:style>
  <w:style w:type="character" w:customStyle="1" w:styleId="TextbublinyChar">
    <w:name w:val="Text bubliny Char"/>
    <w:link w:val="Textbubliny"/>
    <w:rsid w:val="00E14EC2"/>
    <w:rPr>
      <w:rFonts w:ascii="Tahoma" w:hAnsi="Tahoma" w:cs="Tahoma"/>
      <w:sz w:val="16"/>
      <w:szCs w:val="16"/>
    </w:rPr>
  </w:style>
  <w:style w:type="character" w:styleId="Odkaznakoment">
    <w:name w:val="annotation reference"/>
    <w:uiPriority w:val="99"/>
    <w:rsid w:val="00B839BA"/>
    <w:rPr>
      <w:sz w:val="16"/>
      <w:szCs w:val="16"/>
    </w:rPr>
  </w:style>
  <w:style w:type="paragraph" w:styleId="Textkomente">
    <w:name w:val="annotation text"/>
    <w:basedOn w:val="Normln"/>
    <w:link w:val="TextkomenteChar"/>
    <w:rsid w:val="00B839BA"/>
    <w:rPr>
      <w:rFonts w:cs="Times New Roman"/>
    </w:rPr>
  </w:style>
  <w:style w:type="character" w:customStyle="1" w:styleId="TextkomenteChar">
    <w:name w:val="Text komentáře Char"/>
    <w:link w:val="Textkomente"/>
    <w:rsid w:val="00B839BA"/>
    <w:rPr>
      <w:rFonts w:ascii="Arial" w:hAnsi="Arial" w:cs="Arial"/>
    </w:rPr>
  </w:style>
  <w:style w:type="paragraph" w:styleId="Pedmtkomente">
    <w:name w:val="annotation subject"/>
    <w:basedOn w:val="Textkomente"/>
    <w:next w:val="Textkomente"/>
    <w:link w:val="PedmtkomenteChar"/>
    <w:rsid w:val="00B839BA"/>
    <w:rPr>
      <w:b/>
      <w:bCs/>
    </w:rPr>
  </w:style>
  <w:style w:type="character" w:customStyle="1" w:styleId="PedmtkomenteChar">
    <w:name w:val="Předmět komentáře Char"/>
    <w:link w:val="Pedmtkomente"/>
    <w:rsid w:val="00B839BA"/>
    <w:rPr>
      <w:rFonts w:ascii="Arial" w:hAnsi="Arial" w:cs="Arial"/>
      <w:b/>
      <w:bCs/>
    </w:rPr>
  </w:style>
  <w:style w:type="character" w:customStyle="1" w:styleId="FormtovanvHTMLChar">
    <w:name w:val="Formátovaný v HTML Char"/>
    <w:link w:val="FormtovanvHTML"/>
    <w:uiPriority w:val="99"/>
    <w:rsid w:val="0043115E"/>
    <w:rPr>
      <w:rFonts w:ascii="Courier New" w:hAnsi="Courier New" w:cs="Courier New"/>
    </w:rPr>
  </w:style>
  <w:style w:type="character" w:customStyle="1" w:styleId="Nevyeenzmnka1">
    <w:name w:val="Nevyřešená zmínka1"/>
    <w:uiPriority w:val="99"/>
    <w:semiHidden/>
    <w:unhideWhenUsed/>
    <w:rsid w:val="00A7414F"/>
    <w:rPr>
      <w:color w:val="605E5C"/>
      <w:shd w:val="clear" w:color="auto" w:fill="E1DFDD"/>
    </w:rPr>
  </w:style>
  <w:style w:type="paragraph" w:styleId="Odstavecseseznamem">
    <w:name w:val="List Paragraph"/>
    <w:aliases w:val="List Level 1,PRI Bullets,Bullet Paragraph,References,маркированный,Main numbered paragraph,Question"/>
    <w:basedOn w:val="Normln"/>
    <w:link w:val="OdstavecseseznamemChar"/>
    <w:uiPriority w:val="34"/>
    <w:qFormat/>
    <w:rsid w:val="00B93072"/>
    <w:pPr>
      <w:ind w:left="720"/>
      <w:contextualSpacing/>
    </w:pPr>
  </w:style>
  <w:style w:type="character" w:customStyle="1" w:styleId="NzevChar">
    <w:name w:val="Název Char"/>
    <w:basedOn w:val="Standardnpsmoodstavce"/>
    <w:link w:val="Nzev"/>
    <w:uiPriority w:val="10"/>
    <w:rsid w:val="007238DA"/>
    <w:rPr>
      <w:rFonts w:ascii="Arial" w:hAnsi="Arial" w:cs="Arial"/>
      <w:b/>
      <w:bCs/>
      <w:kern w:val="28"/>
      <w:sz w:val="32"/>
      <w:szCs w:val="32"/>
    </w:rPr>
  </w:style>
  <w:style w:type="paragraph" w:styleId="Revize">
    <w:name w:val="Revision"/>
    <w:hidden/>
    <w:uiPriority w:val="99"/>
    <w:semiHidden/>
    <w:rsid w:val="00DE5661"/>
    <w:rPr>
      <w:rFonts w:ascii="Arial" w:hAnsi="Arial" w:cs="Arial"/>
    </w:rPr>
  </w:style>
  <w:style w:type="character" w:customStyle="1" w:styleId="Nevyeenzmnka2">
    <w:name w:val="Nevyřešená zmínka2"/>
    <w:basedOn w:val="Standardnpsmoodstavce"/>
    <w:uiPriority w:val="99"/>
    <w:semiHidden/>
    <w:unhideWhenUsed/>
    <w:rsid w:val="00431E52"/>
    <w:rPr>
      <w:color w:val="605E5C"/>
      <w:shd w:val="clear" w:color="auto" w:fill="E1DFDD"/>
    </w:rPr>
  </w:style>
  <w:style w:type="paragraph" w:customStyle="1" w:styleId="FIL3Body">
    <w:name w:val="FIL_3_Body"/>
    <w:basedOn w:val="Normln"/>
    <w:qFormat/>
    <w:rsid w:val="00611687"/>
    <w:pPr>
      <w:spacing w:before="45" w:after="120" w:line="276" w:lineRule="auto"/>
      <w:jc w:val="left"/>
    </w:pPr>
    <w:rPr>
      <w:rFonts w:cs="Times New Roman"/>
      <w:color w:val="555555"/>
      <w:sz w:val="18"/>
      <w:szCs w:val="24"/>
      <w:lang w:val="en-GB" w:eastAsia="en-GB"/>
    </w:rPr>
  </w:style>
  <w:style w:type="paragraph" w:customStyle="1" w:styleId="f2-zkladn0">
    <w:name w:val="f2-zkladn"/>
    <w:basedOn w:val="Normln"/>
    <w:rsid w:val="00D404D5"/>
    <w:pPr>
      <w:spacing w:before="100" w:beforeAutospacing="1" w:after="100" w:afterAutospacing="1" w:line="240" w:lineRule="auto"/>
      <w:jc w:val="left"/>
    </w:pPr>
    <w:rPr>
      <w:rFonts w:ascii="Times New Roman" w:hAnsi="Times New Roman" w:cs="Times New Roman"/>
      <w:sz w:val="24"/>
      <w:szCs w:val="24"/>
    </w:rPr>
  </w:style>
  <w:style w:type="paragraph" w:customStyle="1" w:styleId="body-l">
    <w:name w:val="body-l"/>
    <w:basedOn w:val="Normln"/>
    <w:rsid w:val="0057387E"/>
    <w:pPr>
      <w:spacing w:before="100" w:beforeAutospacing="1" w:after="100" w:afterAutospacing="1" w:line="240" w:lineRule="auto"/>
      <w:jc w:val="left"/>
    </w:pPr>
    <w:rPr>
      <w:rFonts w:ascii="Times New Roman" w:hAnsi="Times New Roman" w:cs="Times New Roman"/>
      <w:sz w:val="24"/>
      <w:szCs w:val="24"/>
    </w:rPr>
  </w:style>
  <w:style w:type="paragraph" w:customStyle="1" w:styleId="paragraph">
    <w:name w:val="paragraph"/>
    <w:basedOn w:val="Normln"/>
    <w:rsid w:val="006B6F61"/>
    <w:pPr>
      <w:spacing w:before="100" w:beforeAutospacing="1" w:after="100" w:afterAutospacing="1" w:line="240" w:lineRule="auto"/>
      <w:jc w:val="left"/>
    </w:pPr>
    <w:rPr>
      <w:rFonts w:ascii="Times New Roman" w:hAnsi="Times New Roman" w:cs="Times New Roman"/>
      <w:sz w:val="24"/>
      <w:szCs w:val="24"/>
      <w:lang w:val="en-GB" w:eastAsia="zh-CN"/>
    </w:rPr>
  </w:style>
  <w:style w:type="character" w:customStyle="1" w:styleId="normaltextrun">
    <w:name w:val="normaltextrun"/>
    <w:basedOn w:val="Standardnpsmoodstavce"/>
    <w:rsid w:val="006B6F61"/>
  </w:style>
  <w:style w:type="character" w:customStyle="1" w:styleId="eop">
    <w:name w:val="eop"/>
    <w:basedOn w:val="Standardnpsmoodstavce"/>
    <w:rsid w:val="006B6F61"/>
  </w:style>
  <w:style w:type="paragraph" w:customStyle="1" w:styleId="xmsonormal">
    <w:name w:val="x_msonormal"/>
    <w:basedOn w:val="Normln"/>
    <w:rsid w:val="00A82114"/>
    <w:pPr>
      <w:spacing w:before="0" w:line="240" w:lineRule="auto"/>
      <w:jc w:val="left"/>
    </w:pPr>
    <w:rPr>
      <w:rFonts w:ascii="Calibri" w:eastAsia="Gulim" w:hAnsi="Calibri" w:cs="Calibri"/>
      <w:sz w:val="22"/>
      <w:szCs w:val="22"/>
      <w:lang w:val="en-GB" w:eastAsia="ko-KR"/>
    </w:rPr>
  </w:style>
  <w:style w:type="character" w:customStyle="1" w:styleId="OdstavecseseznamemChar">
    <w:name w:val="Odstavec se seznamem Char"/>
    <w:aliases w:val="List Level 1 Char,PRI Bullets Char,Bullet Paragraph Char,References Char,маркированный Char,Main numbered paragraph Char,Question Char"/>
    <w:link w:val="Odstavecseseznamem"/>
    <w:uiPriority w:val="34"/>
    <w:locked/>
    <w:rsid w:val="00A82114"/>
    <w:rPr>
      <w:rFonts w:ascii="Arial" w:hAnsi="Arial" w:cs="Arial"/>
    </w:rPr>
  </w:style>
  <w:style w:type="character" w:customStyle="1" w:styleId="ui-provider">
    <w:name w:val="ui-provider"/>
    <w:basedOn w:val="Standardnpsmoodstavce"/>
    <w:rsid w:val="00EB5B49"/>
  </w:style>
  <w:style w:type="character" w:customStyle="1" w:styleId="Nevyeenzmnka3">
    <w:name w:val="Nevyřešená zmínka3"/>
    <w:basedOn w:val="Standardnpsmoodstavce"/>
    <w:uiPriority w:val="99"/>
    <w:semiHidden/>
    <w:unhideWhenUsed/>
    <w:rsid w:val="00AB759C"/>
    <w:rPr>
      <w:color w:val="605E5C"/>
      <w:shd w:val="clear" w:color="auto" w:fill="E1DFDD"/>
    </w:rPr>
  </w:style>
  <w:style w:type="character" w:customStyle="1" w:styleId="TextpoznpodarouChar">
    <w:name w:val="Text pozn. pod čarou Char"/>
    <w:basedOn w:val="Standardnpsmoodstavce"/>
    <w:link w:val="Textpoznpodarou"/>
    <w:uiPriority w:val="99"/>
    <w:semiHidden/>
    <w:rsid w:val="00EF3AB4"/>
    <w:rPr>
      <w:rFonts w:ascii="Arial" w:hAnsi="Arial" w:cs="Arial"/>
      <w:sz w:val="16"/>
      <w:szCs w:val="16"/>
    </w:rPr>
  </w:style>
  <w:style w:type="character" w:customStyle="1" w:styleId="cf01">
    <w:name w:val="cf01"/>
    <w:basedOn w:val="Standardnpsmoodstavce"/>
    <w:rsid w:val="00EF3AB4"/>
    <w:rPr>
      <w:rFonts w:ascii="Segoe UI" w:hAnsi="Segoe UI" w:cs="Segoe UI" w:hint="default"/>
      <w:sz w:val="18"/>
      <w:szCs w:val="18"/>
    </w:rPr>
  </w:style>
  <w:style w:type="character" w:styleId="Nevyeenzmnka">
    <w:name w:val="Unresolved Mention"/>
    <w:basedOn w:val="Standardnpsmoodstavce"/>
    <w:uiPriority w:val="99"/>
    <w:semiHidden/>
    <w:unhideWhenUsed/>
    <w:rsid w:val="008843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0215">
      <w:bodyDiv w:val="1"/>
      <w:marLeft w:val="0"/>
      <w:marRight w:val="0"/>
      <w:marTop w:val="0"/>
      <w:marBottom w:val="0"/>
      <w:divBdr>
        <w:top w:val="none" w:sz="0" w:space="0" w:color="auto"/>
        <w:left w:val="none" w:sz="0" w:space="0" w:color="auto"/>
        <w:bottom w:val="none" w:sz="0" w:space="0" w:color="auto"/>
        <w:right w:val="none" w:sz="0" w:space="0" w:color="auto"/>
      </w:divBdr>
    </w:div>
    <w:div w:id="26224290">
      <w:bodyDiv w:val="1"/>
      <w:marLeft w:val="0"/>
      <w:marRight w:val="0"/>
      <w:marTop w:val="0"/>
      <w:marBottom w:val="0"/>
      <w:divBdr>
        <w:top w:val="none" w:sz="0" w:space="0" w:color="auto"/>
        <w:left w:val="none" w:sz="0" w:space="0" w:color="auto"/>
        <w:bottom w:val="none" w:sz="0" w:space="0" w:color="auto"/>
        <w:right w:val="none" w:sz="0" w:space="0" w:color="auto"/>
      </w:divBdr>
    </w:div>
    <w:div w:id="32000940">
      <w:bodyDiv w:val="1"/>
      <w:marLeft w:val="0"/>
      <w:marRight w:val="0"/>
      <w:marTop w:val="0"/>
      <w:marBottom w:val="0"/>
      <w:divBdr>
        <w:top w:val="none" w:sz="0" w:space="0" w:color="auto"/>
        <w:left w:val="none" w:sz="0" w:space="0" w:color="auto"/>
        <w:bottom w:val="none" w:sz="0" w:space="0" w:color="auto"/>
        <w:right w:val="none" w:sz="0" w:space="0" w:color="auto"/>
      </w:divBdr>
    </w:div>
    <w:div w:id="47845716">
      <w:bodyDiv w:val="1"/>
      <w:marLeft w:val="0"/>
      <w:marRight w:val="0"/>
      <w:marTop w:val="0"/>
      <w:marBottom w:val="0"/>
      <w:divBdr>
        <w:top w:val="none" w:sz="0" w:space="0" w:color="auto"/>
        <w:left w:val="none" w:sz="0" w:space="0" w:color="auto"/>
        <w:bottom w:val="none" w:sz="0" w:space="0" w:color="auto"/>
        <w:right w:val="none" w:sz="0" w:space="0" w:color="auto"/>
      </w:divBdr>
    </w:div>
    <w:div w:id="93790362">
      <w:bodyDiv w:val="1"/>
      <w:marLeft w:val="0"/>
      <w:marRight w:val="0"/>
      <w:marTop w:val="0"/>
      <w:marBottom w:val="0"/>
      <w:divBdr>
        <w:top w:val="none" w:sz="0" w:space="0" w:color="auto"/>
        <w:left w:val="none" w:sz="0" w:space="0" w:color="auto"/>
        <w:bottom w:val="none" w:sz="0" w:space="0" w:color="auto"/>
        <w:right w:val="none" w:sz="0" w:space="0" w:color="auto"/>
      </w:divBdr>
    </w:div>
    <w:div w:id="117335800">
      <w:bodyDiv w:val="1"/>
      <w:marLeft w:val="0"/>
      <w:marRight w:val="0"/>
      <w:marTop w:val="0"/>
      <w:marBottom w:val="0"/>
      <w:divBdr>
        <w:top w:val="none" w:sz="0" w:space="0" w:color="auto"/>
        <w:left w:val="none" w:sz="0" w:space="0" w:color="auto"/>
        <w:bottom w:val="none" w:sz="0" w:space="0" w:color="auto"/>
        <w:right w:val="none" w:sz="0" w:space="0" w:color="auto"/>
      </w:divBdr>
    </w:div>
    <w:div w:id="130027365">
      <w:bodyDiv w:val="1"/>
      <w:marLeft w:val="0"/>
      <w:marRight w:val="0"/>
      <w:marTop w:val="0"/>
      <w:marBottom w:val="0"/>
      <w:divBdr>
        <w:top w:val="none" w:sz="0" w:space="0" w:color="auto"/>
        <w:left w:val="none" w:sz="0" w:space="0" w:color="auto"/>
        <w:bottom w:val="none" w:sz="0" w:space="0" w:color="auto"/>
        <w:right w:val="none" w:sz="0" w:space="0" w:color="auto"/>
      </w:divBdr>
    </w:div>
    <w:div w:id="171918904">
      <w:bodyDiv w:val="1"/>
      <w:marLeft w:val="0"/>
      <w:marRight w:val="0"/>
      <w:marTop w:val="0"/>
      <w:marBottom w:val="0"/>
      <w:divBdr>
        <w:top w:val="none" w:sz="0" w:space="0" w:color="auto"/>
        <w:left w:val="none" w:sz="0" w:space="0" w:color="auto"/>
        <w:bottom w:val="none" w:sz="0" w:space="0" w:color="auto"/>
        <w:right w:val="none" w:sz="0" w:space="0" w:color="auto"/>
      </w:divBdr>
    </w:div>
    <w:div w:id="196479142">
      <w:bodyDiv w:val="1"/>
      <w:marLeft w:val="0"/>
      <w:marRight w:val="0"/>
      <w:marTop w:val="0"/>
      <w:marBottom w:val="0"/>
      <w:divBdr>
        <w:top w:val="none" w:sz="0" w:space="0" w:color="auto"/>
        <w:left w:val="none" w:sz="0" w:space="0" w:color="auto"/>
        <w:bottom w:val="none" w:sz="0" w:space="0" w:color="auto"/>
        <w:right w:val="none" w:sz="0" w:space="0" w:color="auto"/>
      </w:divBdr>
    </w:div>
    <w:div w:id="198670851">
      <w:bodyDiv w:val="1"/>
      <w:marLeft w:val="0"/>
      <w:marRight w:val="0"/>
      <w:marTop w:val="0"/>
      <w:marBottom w:val="0"/>
      <w:divBdr>
        <w:top w:val="none" w:sz="0" w:space="0" w:color="auto"/>
        <w:left w:val="none" w:sz="0" w:space="0" w:color="auto"/>
        <w:bottom w:val="none" w:sz="0" w:space="0" w:color="auto"/>
        <w:right w:val="none" w:sz="0" w:space="0" w:color="auto"/>
      </w:divBdr>
    </w:div>
    <w:div w:id="226259287">
      <w:bodyDiv w:val="1"/>
      <w:marLeft w:val="0"/>
      <w:marRight w:val="0"/>
      <w:marTop w:val="0"/>
      <w:marBottom w:val="0"/>
      <w:divBdr>
        <w:top w:val="none" w:sz="0" w:space="0" w:color="auto"/>
        <w:left w:val="none" w:sz="0" w:space="0" w:color="auto"/>
        <w:bottom w:val="none" w:sz="0" w:space="0" w:color="auto"/>
        <w:right w:val="none" w:sz="0" w:space="0" w:color="auto"/>
      </w:divBdr>
    </w:div>
    <w:div w:id="229002302">
      <w:bodyDiv w:val="1"/>
      <w:marLeft w:val="0"/>
      <w:marRight w:val="0"/>
      <w:marTop w:val="0"/>
      <w:marBottom w:val="0"/>
      <w:divBdr>
        <w:top w:val="none" w:sz="0" w:space="0" w:color="auto"/>
        <w:left w:val="none" w:sz="0" w:space="0" w:color="auto"/>
        <w:bottom w:val="none" w:sz="0" w:space="0" w:color="auto"/>
        <w:right w:val="none" w:sz="0" w:space="0" w:color="auto"/>
      </w:divBdr>
    </w:div>
    <w:div w:id="259224303">
      <w:bodyDiv w:val="1"/>
      <w:marLeft w:val="0"/>
      <w:marRight w:val="0"/>
      <w:marTop w:val="0"/>
      <w:marBottom w:val="0"/>
      <w:divBdr>
        <w:top w:val="none" w:sz="0" w:space="0" w:color="auto"/>
        <w:left w:val="none" w:sz="0" w:space="0" w:color="auto"/>
        <w:bottom w:val="none" w:sz="0" w:space="0" w:color="auto"/>
        <w:right w:val="none" w:sz="0" w:space="0" w:color="auto"/>
      </w:divBdr>
    </w:div>
    <w:div w:id="269316379">
      <w:bodyDiv w:val="1"/>
      <w:marLeft w:val="0"/>
      <w:marRight w:val="0"/>
      <w:marTop w:val="0"/>
      <w:marBottom w:val="0"/>
      <w:divBdr>
        <w:top w:val="none" w:sz="0" w:space="0" w:color="auto"/>
        <w:left w:val="none" w:sz="0" w:space="0" w:color="auto"/>
        <w:bottom w:val="none" w:sz="0" w:space="0" w:color="auto"/>
        <w:right w:val="none" w:sz="0" w:space="0" w:color="auto"/>
      </w:divBdr>
    </w:div>
    <w:div w:id="305555488">
      <w:bodyDiv w:val="1"/>
      <w:marLeft w:val="0"/>
      <w:marRight w:val="0"/>
      <w:marTop w:val="0"/>
      <w:marBottom w:val="0"/>
      <w:divBdr>
        <w:top w:val="none" w:sz="0" w:space="0" w:color="auto"/>
        <w:left w:val="none" w:sz="0" w:space="0" w:color="auto"/>
        <w:bottom w:val="none" w:sz="0" w:space="0" w:color="auto"/>
        <w:right w:val="none" w:sz="0" w:space="0" w:color="auto"/>
      </w:divBdr>
    </w:div>
    <w:div w:id="341783882">
      <w:bodyDiv w:val="1"/>
      <w:marLeft w:val="0"/>
      <w:marRight w:val="0"/>
      <w:marTop w:val="0"/>
      <w:marBottom w:val="0"/>
      <w:divBdr>
        <w:top w:val="none" w:sz="0" w:space="0" w:color="auto"/>
        <w:left w:val="none" w:sz="0" w:space="0" w:color="auto"/>
        <w:bottom w:val="none" w:sz="0" w:space="0" w:color="auto"/>
        <w:right w:val="none" w:sz="0" w:space="0" w:color="auto"/>
      </w:divBdr>
    </w:div>
    <w:div w:id="346177067">
      <w:bodyDiv w:val="1"/>
      <w:marLeft w:val="0"/>
      <w:marRight w:val="0"/>
      <w:marTop w:val="0"/>
      <w:marBottom w:val="0"/>
      <w:divBdr>
        <w:top w:val="none" w:sz="0" w:space="0" w:color="auto"/>
        <w:left w:val="none" w:sz="0" w:space="0" w:color="auto"/>
        <w:bottom w:val="none" w:sz="0" w:space="0" w:color="auto"/>
        <w:right w:val="none" w:sz="0" w:space="0" w:color="auto"/>
      </w:divBdr>
    </w:div>
    <w:div w:id="349262461">
      <w:bodyDiv w:val="1"/>
      <w:marLeft w:val="0"/>
      <w:marRight w:val="0"/>
      <w:marTop w:val="0"/>
      <w:marBottom w:val="0"/>
      <w:divBdr>
        <w:top w:val="none" w:sz="0" w:space="0" w:color="auto"/>
        <w:left w:val="none" w:sz="0" w:space="0" w:color="auto"/>
        <w:bottom w:val="none" w:sz="0" w:space="0" w:color="auto"/>
        <w:right w:val="none" w:sz="0" w:space="0" w:color="auto"/>
      </w:divBdr>
    </w:div>
    <w:div w:id="358316845">
      <w:bodyDiv w:val="1"/>
      <w:marLeft w:val="0"/>
      <w:marRight w:val="0"/>
      <w:marTop w:val="0"/>
      <w:marBottom w:val="0"/>
      <w:divBdr>
        <w:top w:val="none" w:sz="0" w:space="0" w:color="auto"/>
        <w:left w:val="none" w:sz="0" w:space="0" w:color="auto"/>
        <w:bottom w:val="none" w:sz="0" w:space="0" w:color="auto"/>
        <w:right w:val="none" w:sz="0" w:space="0" w:color="auto"/>
      </w:divBdr>
    </w:div>
    <w:div w:id="399639357">
      <w:bodyDiv w:val="1"/>
      <w:marLeft w:val="0"/>
      <w:marRight w:val="0"/>
      <w:marTop w:val="0"/>
      <w:marBottom w:val="0"/>
      <w:divBdr>
        <w:top w:val="none" w:sz="0" w:space="0" w:color="auto"/>
        <w:left w:val="none" w:sz="0" w:space="0" w:color="auto"/>
        <w:bottom w:val="none" w:sz="0" w:space="0" w:color="auto"/>
        <w:right w:val="none" w:sz="0" w:space="0" w:color="auto"/>
      </w:divBdr>
    </w:div>
    <w:div w:id="410666629">
      <w:bodyDiv w:val="1"/>
      <w:marLeft w:val="0"/>
      <w:marRight w:val="0"/>
      <w:marTop w:val="0"/>
      <w:marBottom w:val="0"/>
      <w:divBdr>
        <w:top w:val="none" w:sz="0" w:space="0" w:color="auto"/>
        <w:left w:val="none" w:sz="0" w:space="0" w:color="auto"/>
        <w:bottom w:val="none" w:sz="0" w:space="0" w:color="auto"/>
        <w:right w:val="none" w:sz="0" w:space="0" w:color="auto"/>
      </w:divBdr>
    </w:div>
    <w:div w:id="418914697">
      <w:bodyDiv w:val="1"/>
      <w:marLeft w:val="0"/>
      <w:marRight w:val="0"/>
      <w:marTop w:val="0"/>
      <w:marBottom w:val="0"/>
      <w:divBdr>
        <w:top w:val="none" w:sz="0" w:space="0" w:color="auto"/>
        <w:left w:val="none" w:sz="0" w:space="0" w:color="auto"/>
        <w:bottom w:val="none" w:sz="0" w:space="0" w:color="auto"/>
        <w:right w:val="none" w:sz="0" w:space="0" w:color="auto"/>
      </w:divBdr>
    </w:div>
    <w:div w:id="446317804">
      <w:bodyDiv w:val="1"/>
      <w:marLeft w:val="0"/>
      <w:marRight w:val="0"/>
      <w:marTop w:val="0"/>
      <w:marBottom w:val="0"/>
      <w:divBdr>
        <w:top w:val="none" w:sz="0" w:space="0" w:color="auto"/>
        <w:left w:val="none" w:sz="0" w:space="0" w:color="auto"/>
        <w:bottom w:val="none" w:sz="0" w:space="0" w:color="auto"/>
        <w:right w:val="none" w:sz="0" w:space="0" w:color="auto"/>
      </w:divBdr>
    </w:div>
    <w:div w:id="473720710">
      <w:bodyDiv w:val="1"/>
      <w:marLeft w:val="0"/>
      <w:marRight w:val="0"/>
      <w:marTop w:val="0"/>
      <w:marBottom w:val="0"/>
      <w:divBdr>
        <w:top w:val="none" w:sz="0" w:space="0" w:color="auto"/>
        <w:left w:val="none" w:sz="0" w:space="0" w:color="auto"/>
        <w:bottom w:val="none" w:sz="0" w:space="0" w:color="auto"/>
        <w:right w:val="none" w:sz="0" w:space="0" w:color="auto"/>
      </w:divBdr>
    </w:div>
    <w:div w:id="494226105">
      <w:bodyDiv w:val="1"/>
      <w:marLeft w:val="0"/>
      <w:marRight w:val="0"/>
      <w:marTop w:val="0"/>
      <w:marBottom w:val="0"/>
      <w:divBdr>
        <w:top w:val="none" w:sz="0" w:space="0" w:color="auto"/>
        <w:left w:val="none" w:sz="0" w:space="0" w:color="auto"/>
        <w:bottom w:val="none" w:sz="0" w:space="0" w:color="auto"/>
        <w:right w:val="none" w:sz="0" w:space="0" w:color="auto"/>
      </w:divBdr>
    </w:div>
    <w:div w:id="496727072">
      <w:bodyDiv w:val="1"/>
      <w:marLeft w:val="0"/>
      <w:marRight w:val="0"/>
      <w:marTop w:val="0"/>
      <w:marBottom w:val="0"/>
      <w:divBdr>
        <w:top w:val="none" w:sz="0" w:space="0" w:color="auto"/>
        <w:left w:val="none" w:sz="0" w:space="0" w:color="auto"/>
        <w:bottom w:val="none" w:sz="0" w:space="0" w:color="auto"/>
        <w:right w:val="none" w:sz="0" w:space="0" w:color="auto"/>
      </w:divBdr>
    </w:div>
    <w:div w:id="509566217">
      <w:bodyDiv w:val="1"/>
      <w:marLeft w:val="0"/>
      <w:marRight w:val="0"/>
      <w:marTop w:val="0"/>
      <w:marBottom w:val="0"/>
      <w:divBdr>
        <w:top w:val="none" w:sz="0" w:space="0" w:color="auto"/>
        <w:left w:val="none" w:sz="0" w:space="0" w:color="auto"/>
        <w:bottom w:val="none" w:sz="0" w:space="0" w:color="auto"/>
        <w:right w:val="none" w:sz="0" w:space="0" w:color="auto"/>
      </w:divBdr>
    </w:div>
    <w:div w:id="515775441">
      <w:bodyDiv w:val="1"/>
      <w:marLeft w:val="0"/>
      <w:marRight w:val="0"/>
      <w:marTop w:val="0"/>
      <w:marBottom w:val="0"/>
      <w:divBdr>
        <w:top w:val="none" w:sz="0" w:space="0" w:color="auto"/>
        <w:left w:val="none" w:sz="0" w:space="0" w:color="auto"/>
        <w:bottom w:val="none" w:sz="0" w:space="0" w:color="auto"/>
        <w:right w:val="none" w:sz="0" w:space="0" w:color="auto"/>
      </w:divBdr>
    </w:div>
    <w:div w:id="565262955">
      <w:bodyDiv w:val="1"/>
      <w:marLeft w:val="0"/>
      <w:marRight w:val="0"/>
      <w:marTop w:val="0"/>
      <w:marBottom w:val="0"/>
      <w:divBdr>
        <w:top w:val="none" w:sz="0" w:space="0" w:color="auto"/>
        <w:left w:val="none" w:sz="0" w:space="0" w:color="auto"/>
        <w:bottom w:val="none" w:sz="0" w:space="0" w:color="auto"/>
        <w:right w:val="none" w:sz="0" w:space="0" w:color="auto"/>
      </w:divBdr>
    </w:div>
    <w:div w:id="586184741">
      <w:bodyDiv w:val="1"/>
      <w:marLeft w:val="0"/>
      <w:marRight w:val="0"/>
      <w:marTop w:val="0"/>
      <w:marBottom w:val="0"/>
      <w:divBdr>
        <w:top w:val="none" w:sz="0" w:space="0" w:color="auto"/>
        <w:left w:val="none" w:sz="0" w:space="0" w:color="auto"/>
        <w:bottom w:val="none" w:sz="0" w:space="0" w:color="auto"/>
        <w:right w:val="none" w:sz="0" w:space="0" w:color="auto"/>
      </w:divBdr>
    </w:div>
    <w:div w:id="589004206">
      <w:bodyDiv w:val="1"/>
      <w:marLeft w:val="0"/>
      <w:marRight w:val="0"/>
      <w:marTop w:val="0"/>
      <w:marBottom w:val="0"/>
      <w:divBdr>
        <w:top w:val="none" w:sz="0" w:space="0" w:color="auto"/>
        <w:left w:val="none" w:sz="0" w:space="0" w:color="auto"/>
        <w:bottom w:val="none" w:sz="0" w:space="0" w:color="auto"/>
        <w:right w:val="none" w:sz="0" w:space="0" w:color="auto"/>
      </w:divBdr>
    </w:div>
    <w:div w:id="608702094">
      <w:bodyDiv w:val="1"/>
      <w:marLeft w:val="0"/>
      <w:marRight w:val="0"/>
      <w:marTop w:val="0"/>
      <w:marBottom w:val="0"/>
      <w:divBdr>
        <w:top w:val="none" w:sz="0" w:space="0" w:color="auto"/>
        <w:left w:val="none" w:sz="0" w:space="0" w:color="auto"/>
        <w:bottom w:val="none" w:sz="0" w:space="0" w:color="auto"/>
        <w:right w:val="none" w:sz="0" w:space="0" w:color="auto"/>
      </w:divBdr>
    </w:div>
    <w:div w:id="609049184">
      <w:bodyDiv w:val="1"/>
      <w:marLeft w:val="0"/>
      <w:marRight w:val="0"/>
      <w:marTop w:val="0"/>
      <w:marBottom w:val="0"/>
      <w:divBdr>
        <w:top w:val="none" w:sz="0" w:space="0" w:color="auto"/>
        <w:left w:val="none" w:sz="0" w:space="0" w:color="auto"/>
        <w:bottom w:val="none" w:sz="0" w:space="0" w:color="auto"/>
        <w:right w:val="none" w:sz="0" w:space="0" w:color="auto"/>
      </w:divBdr>
    </w:div>
    <w:div w:id="642273546">
      <w:bodyDiv w:val="1"/>
      <w:marLeft w:val="0"/>
      <w:marRight w:val="0"/>
      <w:marTop w:val="0"/>
      <w:marBottom w:val="0"/>
      <w:divBdr>
        <w:top w:val="none" w:sz="0" w:space="0" w:color="auto"/>
        <w:left w:val="none" w:sz="0" w:space="0" w:color="auto"/>
        <w:bottom w:val="none" w:sz="0" w:space="0" w:color="auto"/>
        <w:right w:val="none" w:sz="0" w:space="0" w:color="auto"/>
      </w:divBdr>
    </w:div>
    <w:div w:id="645664831">
      <w:bodyDiv w:val="1"/>
      <w:marLeft w:val="0"/>
      <w:marRight w:val="0"/>
      <w:marTop w:val="0"/>
      <w:marBottom w:val="0"/>
      <w:divBdr>
        <w:top w:val="none" w:sz="0" w:space="0" w:color="auto"/>
        <w:left w:val="none" w:sz="0" w:space="0" w:color="auto"/>
        <w:bottom w:val="none" w:sz="0" w:space="0" w:color="auto"/>
        <w:right w:val="none" w:sz="0" w:space="0" w:color="auto"/>
      </w:divBdr>
    </w:div>
    <w:div w:id="667100440">
      <w:bodyDiv w:val="1"/>
      <w:marLeft w:val="0"/>
      <w:marRight w:val="0"/>
      <w:marTop w:val="0"/>
      <w:marBottom w:val="0"/>
      <w:divBdr>
        <w:top w:val="none" w:sz="0" w:space="0" w:color="auto"/>
        <w:left w:val="none" w:sz="0" w:space="0" w:color="auto"/>
        <w:bottom w:val="none" w:sz="0" w:space="0" w:color="auto"/>
        <w:right w:val="none" w:sz="0" w:space="0" w:color="auto"/>
      </w:divBdr>
    </w:div>
    <w:div w:id="777919185">
      <w:bodyDiv w:val="1"/>
      <w:marLeft w:val="0"/>
      <w:marRight w:val="0"/>
      <w:marTop w:val="0"/>
      <w:marBottom w:val="0"/>
      <w:divBdr>
        <w:top w:val="none" w:sz="0" w:space="0" w:color="auto"/>
        <w:left w:val="none" w:sz="0" w:space="0" w:color="auto"/>
        <w:bottom w:val="none" w:sz="0" w:space="0" w:color="auto"/>
        <w:right w:val="none" w:sz="0" w:space="0" w:color="auto"/>
      </w:divBdr>
    </w:div>
    <w:div w:id="814950803">
      <w:bodyDiv w:val="1"/>
      <w:marLeft w:val="0"/>
      <w:marRight w:val="0"/>
      <w:marTop w:val="0"/>
      <w:marBottom w:val="0"/>
      <w:divBdr>
        <w:top w:val="none" w:sz="0" w:space="0" w:color="auto"/>
        <w:left w:val="none" w:sz="0" w:space="0" w:color="auto"/>
        <w:bottom w:val="none" w:sz="0" w:space="0" w:color="auto"/>
        <w:right w:val="none" w:sz="0" w:space="0" w:color="auto"/>
      </w:divBdr>
    </w:div>
    <w:div w:id="833183269">
      <w:bodyDiv w:val="1"/>
      <w:marLeft w:val="0"/>
      <w:marRight w:val="0"/>
      <w:marTop w:val="0"/>
      <w:marBottom w:val="0"/>
      <w:divBdr>
        <w:top w:val="none" w:sz="0" w:space="0" w:color="auto"/>
        <w:left w:val="none" w:sz="0" w:space="0" w:color="auto"/>
        <w:bottom w:val="none" w:sz="0" w:space="0" w:color="auto"/>
        <w:right w:val="none" w:sz="0" w:space="0" w:color="auto"/>
      </w:divBdr>
    </w:div>
    <w:div w:id="840465814">
      <w:bodyDiv w:val="1"/>
      <w:marLeft w:val="0"/>
      <w:marRight w:val="0"/>
      <w:marTop w:val="0"/>
      <w:marBottom w:val="0"/>
      <w:divBdr>
        <w:top w:val="none" w:sz="0" w:space="0" w:color="auto"/>
        <w:left w:val="none" w:sz="0" w:space="0" w:color="auto"/>
        <w:bottom w:val="none" w:sz="0" w:space="0" w:color="auto"/>
        <w:right w:val="none" w:sz="0" w:space="0" w:color="auto"/>
      </w:divBdr>
    </w:div>
    <w:div w:id="842860217">
      <w:bodyDiv w:val="1"/>
      <w:marLeft w:val="0"/>
      <w:marRight w:val="0"/>
      <w:marTop w:val="0"/>
      <w:marBottom w:val="0"/>
      <w:divBdr>
        <w:top w:val="none" w:sz="0" w:space="0" w:color="auto"/>
        <w:left w:val="none" w:sz="0" w:space="0" w:color="auto"/>
        <w:bottom w:val="none" w:sz="0" w:space="0" w:color="auto"/>
        <w:right w:val="none" w:sz="0" w:space="0" w:color="auto"/>
      </w:divBdr>
    </w:div>
    <w:div w:id="854265581">
      <w:bodyDiv w:val="1"/>
      <w:marLeft w:val="0"/>
      <w:marRight w:val="0"/>
      <w:marTop w:val="0"/>
      <w:marBottom w:val="0"/>
      <w:divBdr>
        <w:top w:val="none" w:sz="0" w:space="0" w:color="auto"/>
        <w:left w:val="none" w:sz="0" w:space="0" w:color="auto"/>
        <w:bottom w:val="none" w:sz="0" w:space="0" w:color="auto"/>
        <w:right w:val="none" w:sz="0" w:space="0" w:color="auto"/>
      </w:divBdr>
    </w:div>
    <w:div w:id="879131442">
      <w:bodyDiv w:val="1"/>
      <w:marLeft w:val="0"/>
      <w:marRight w:val="0"/>
      <w:marTop w:val="0"/>
      <w:marBottom w:val="0"/>
      <w:divBdr>
        <w:top w:val="none" w:sz="0" w:space="0" w:color="auto"/>
        <w:left w:val="none" w:sz="0" w:space="0" w:color="auto"/>
        <w:bottom w:val="none" w:sz="0" w:space="0" w:color="auto"/>
        <w:right w:val="none" w:sz="0" w:space="0" w:color="auto"/>
      </w:divBdr>
    </w:div>
    <w:div w:id="893545164">
      <w:bodyDiv w:val="1"/>
      <w:marLeft w:val="0"/>
      <w:marRight w:val="0"/>
      <w:marTop w:val="0"/>
      <w:marBottom w:val="0"/>
      <w:divBdr>
        <w:top w:val="none" w:sz="0" w:space="0" w:color="auto"/>
        <w:left w:val="none" w:sz="0" w:space="0" w:color="auto"/>
        <w:bottom w:val="none" w:sz="0" w:space="0" w:color="auto"/>
        <w:right w:val="none" w:sz="0" w:space="0" w:color="auto"/>
      </w:divBdr>
    </w:div>
    <w:div w:id="923339379">
      <w:bodyDiv w:val="1"/>
      <w:marLeft w:val="0"/>
      <w:marRight w:val="0"/>
      <w:marTop w:val="0"/>
      <w:marBottom w:val="0"/>
      <w:divBdr>
        <w:top w:val="none" w:sz="0" w:space="0" w:color="auto"/>
        <w:left w:val="none" w:sz="0" w:space="0" w:color="auto"/>
        <w:bottom w:val="none" w:sz="0" w:space="0" w:color="auto"/>
        <w:right w:val="none" w:sz="0" w:space="0" w:color="auto"/>
      </w:divBdr>
    </w:div>
    <w:div w:id="940525266">
      <w:bodyDiv w:val="1"/>
      <w:marLeft w:val="0"/>
      <w:marRight w:val="0"/>
      <w:marTop w:val="0"/>
      <w:marBottom w:val="0"/>
      <w:divBdr>
        <w:top w:val="none" w:sz="0" w:space="0" w:color="auto"/>
        <w:left w:val="none" w:sz="0" w:space="0" w:color="auto"/>
        <w:bottom w:val="none" w:sz="0" w:space="0" w:color="auto"/>
        <w:right w:val="none" w:sz="0" w:space="0" w:color="auto"/>
      </w:divBdr>
    </w:div>
    <w:div w:id="954479567">
      <w:bodyDiv w:val="1"/>
      <w:marLeft w:val="0"/>
      <w:marRight w:val="0"/>
      <w:marTop w:val="0"/>
      <w:marBottom w:val="0"/>
      <w:divBdr>
        <w:top w:val="none" w:sz="0" w:space="0" w:color="auto"/>
        <w:left w:val="none" w:sz="0" w:space="0" w:color="auto"/>
        <w:bottom w:val="none" w:sz="0" w:space="0" w:color="auto"/>
        <w:right w:val="none" w:sz="0" w:space="0" w:color="auto"/>
      </w:divBdr>
    </w:div>
    <w:div w:id="1001737816">
      <w:bodyDiv w:val="1"/>
      <w:marLeft w:val="0"/>
      <w:marRight w:val="0"/>
      <w:marTop w:val="0"/>
      <w:marBottom w:val="0"/>
      <w:divBdr>
        <w:top w:val="none" w:sz="0" w:space="0" w:color="auto"/>
        <w:left w:val="none" w:sz="0" w:space="0" w:color="auto"/>
        <w:bottom w:val="none" w:sz="0" w:space="0" w:color="auto"/>
        <w:right w:val="none" w:sz="0" w:space="0" w:color="auto"/>
      </w:divBdr>
    </w:div>
    <w:div w:id="1008564044">
      <w:bodyDiv w:val="1"/>
      <w:marLeft w:val="0"/>
      <w:marRight w:val="0"/>
      <w:marTop w:val="0"/>
      <w:marBottom w:val="0"/>
      <w:divBdr>
        <w:top w:val="none" w:sz="0" w:space="0" w:color="auto"/>
        <w:left w:val="none" w:sz="0" w:space="0" w:color="auto"/>
        <w:bottom w:val="none" w:sz="0" w:space="0" w:color="auto"/>
        <w:right w:val="none" w:sz="0" w:space="0" w:color="auto"/>
      </w:divBdr>
    </w:div>
    <w:div w:id="1019311681">
      <w:bodyDiv w:val="1"/>
      <w:marLeft w:val="0"/>
      <w:marRight w:val="0"/>
      <w:marTop w:val="0"/>
      <w:marBottom w:val="0"/>
      <w:divBdr>
        <w:top w:val="none" w:sz="0" w:space="0" w:color="auto"/>
        <w:left w:val="none" w:sz="0" w:space="0" w:color="auto"/>
        <w:bottom w:val="none" w:sz="0" w:space="0" w:color="auto"/>
        <w:right w:val="none" w:sz="0" w:space="0" w:color="auto"/>
      </w:divBdr>
    </w:div>
    <w:div w:id="1024863374">
      <w:bodyDiv w:val="1"/>
      <w:marLeft w:val="0"/>
      <w:marRight w:val="0"/>
      <w:marTop w:val="0"/>
      <w:marBottom w:val="0"/>
      <w:divBdr>
        <w:top w:val="none" w:sz="0" w:space="0" w:color="auto"/>
        <w:left w:val="none" w:sz="0" w:space="0" w:color="auto"/>
        <w:bottom w:val="none" w:sz="0" w:space="0" w:color="auto"/>
        <w:right w:val="none" w:sz="0" w:space="0" w:color="auto"/>
      </w:divBdr>
    </w:div>
    <w:div w:id="1054163630">
      <w:bodyDiv w:val="1"/>
      <w:marLeft w:val="0"/>
      <w:marRight w:val="0"/>
      <w:marTop w:val="0"/>
      <w:marBottom w:val="0"/>
      <w:divBdr>
        <w:top w:val="none" w:sz="0" w:space="0" w:color="auto"/>
        <w:left w:val="none" w:sz="0" w:space="0" w:color="auto"/>
        <w:bottom w:val="none" w:sz="0" w:space="0" w:color="auto"/>
        <w:right w:val="none" w:sz="0" w:space="0" w:color="auto"/>
      </w:divBdr>
    </w:div>
    <w:div w:id="1093746309">
      <w:bodyDiv w:val="1"/>
      <w:marLeft w:val="0"/>
      <w:marRight w:val="0"/>
      <w:marTop w:val="0"/>
      <w:marBottom w:val="0"/>
      <w:divBdr>
        <w:top w:val="none" w:sz="0" w:space="0" w:color="auto"/>
        <w:left w:val="none" w:sz="0" w:space="0" w:color="auto"/>
        <w:bottom w:val="none" w:sz="0" w:space="0" w:color="auto"/>
        <w:right w:val="none" w:sz="0" w:space="0" w:color="auto"/>
      </w:divBdr>
    </w:div>
    <w:div w:id="1123814539">
      <w:bodyDiv w:val="1"/>
      <w:marLeft w:val="0"/>
      <w:marRight w:val="0"/>
      <w:marTop w:val="0"/>
      <w:marBottom w:val="0"/>
      <w:divBdr>
        <w:top w:val="none" w:sz="0" w:space="0" w:color="auto"/>
        <w:left w:val="none" w:sz="0" w:space="0" w:color="auto"/>
        <w:bottom w:val="none" w:sz="0" w:space="0" w:color="auto"/>
        <w:right w:val="none" w:sz="0" w:space="0" w:color="auto"/>
      </w:divBdr>
    </w:div>
    <w:div w:id="1128352914">
      <w:bodyDiv w:val="1"/>
      <w:marLeft w:val="0"/>
      <w:marRight w:val="0"/>
      <w:marTop w:val="0"/>
      <w:marBottom w:val="0"/>
      <w:divBdr>
        <w:top w:val="none" w:sz="0" w:space="0" w:color="auto"/>
        <w:left w:val="none" w:sz="0" w:space="0" w:color="auto"/>
        <w:bottom w:val="none" w:sz="0" w:space="0" w:color="auto"/>
        <w:right w:val="none" w:sz="0" w:space="0" w:color="auto"/>
      </w:divBdr>
    </w:div>
    <w:div w:id="1141921708">
      <w:bodyDiv w:val="1"/>
      <w:marLeft w:val="0"/>
      <w:marRight w:val="0"/>
      <w:marTop w:val="0"/>
      <w:marBottom w:val="0"/>
      <w:divBdr>
        <w:top w:val="none" w:sz="0" w:space="0" w:color="auto"/>
        <w:left w:val="none" w:sz="0" w:space="0" w:color="auto"/>
        <w:bottom w:val="none" w:sz="0" w:space="0" w:color="auto"/>
        <w:right w:val="none" w:sz="0" w:space="0" w:color="auto"/>
      </w:divBdr>
    </w:div>
    <w:div w:id="1177961262">
      <w:bodyDiv w:val="1"/>
      <w:marLeft w:val="0"/>
      <w:marRight w:val="0"/>
      <w:marTop w:val="0"/>
      <w:marBottom w:val="0"/>
      <w:divBdr>
        <w:top w:val="none" w:sz="0" w:space="0" w:color="auto"/>
        <w:left w:val="none" w:sz="0" w:space="0" w:color="auto"/>
        <w:bottom w:val="none" w:sz="0" w:space="0" w:color="auto"/>
        <w:right w:val="none" w:sz="0" w:space="0" w:color="auto"/>
      </w:divBdr>
    </w:div>
    <w:div w:id="1180465971">
      <w:bodyDiv w:val="1"/>
      <w:marLeft w:val="0"/>
      <w:marRight w:val="0"/>
      <w:marTop w:val="0"/>
      <w:marBottom w:val="0"/>
      <w:divBdr>
        <w:top w:val="none" w:sz="0" w:space="0" w:color="auto"/>
        <w:left w:val="none" w:sz="0" w:space="0" w:color="auto"/>
        <w:bottom w:val="none" w:sz="0" w:space="0" w:color="auto"/>
        <w:right w:val="none" w:sz="0" w:space="0" w:color="auto"/>
      </w:divBdr>
    </w:div>
    <w:div w:id="1224832783">
      <w:bodyDiv w:val="1"/>
      <w:marLeft w:val="0"/>
      <w:marRight w:val="0"/>
      <w:marTop w:val="0"/>
      <w:marBottom w:val="0"/>
      <w:divBdr>
        <w:top w:val="none" w:sz="0" w:space="0" w:color="auto"/>
        <w:left w:val="none" w:sz="0" w:space="0" w:color="auto"/>
        <w:bottom w:val="none" w:sz="0" w:space="0" w:color="auto"/>
        <w:right w:val="none" w:sz="0" w:space="0" w:color="auto"/>
      </w:divBdr>
    </w:div>
    <w:div w:id="1241478248">
      <w:bodyDiv w:val="1"/>
      <w:marLeft w:val="0"/>
      <w:marRight w:val="0"/>
      <w:marTop w:val="0"/>
      <w:marBottom w:val="0"/>
      <w:divBdr>
        <w:top w:val="none" w:sz="0" w:space="0" w:color="auto"/>
        <w:left w:val="none" w:sz="0" w:space="0" w:color="auto"/>
        <w:bottom w:val="none" w:sz="0" w:space="0" w:color="auto"/>
        <w:right w:val="none" w:sz="0" w:space="0" w:color="auto"/>
      </w:divBdr>
    </w:div>
    <w:div w:id="1244293417">
      <w:bodyDiv w:val="1"/>
      <w:marLeft w:val="0"/>
      <w:marRight w:val="0"/>
      <w:marTop w:val="0"/>
      <w:marBottom w:val="0"/>
      <w:divBdr>
        <w:top w:val="none" w:sz="0" w:space="0" w:color="auto"/>
        <w:left w:val="none" w:sz="0" w:space="0" w:color="auto"/>
        <w:bottom w:val="none" w:sz="0" w:space="0" w:color="auto"/>
        <w:right w:val="none" w:sz="0" w:space="0" w:color="auto"/>
      </w:divBdr>
    </w:div>
    <w:div w:id="1259825597">
      <w:bodyDiv w:val="1"/>
      <w:marLeft w:val="0"/>
      <w:marRight w:val="0"/>
      <w:marTop w:val="0"/>
      <w:marBottom w:val="0"/>
      <w:divBdr>
        <w:top w:val="none" w:sz="0" w:space="0" w:color="auto"/>
        <w:left w:val="none" w:sz="0" w:space="0" w:color="auto"/>
        <w:bottom w:val="none" w:sz="0" w:space="0" w:color="auto"/>
        <w:right w:val="none" w:sz="0" w:space="0" w:color="auto"/>
      </w:divBdr>
    </w:div>
    <w:div w:id="1284263836">
      <w:bodyDiv w:val="1"/>
      <w:marLeft w:val="0"/>
      <w:marRight w:val="0"/>
      <w:marTop w:val="0"/>
      <w:marBottom w:val="0"/>
      <w:divBdr>
        <w:top w:val="none" w:sz="0" w:space="0" w:color="auto"/>
        <w:left w:val="none" w:sz="0" w:space="0" w:color="auto"/>
        <w:bottom w:val="none" w:sz="0" w:space="0" w:color="auto"/>
        <w:right w:val="none" w:sz="0" w:space="0" w:color="auto"/>
      </w:divBdr>
    </w:div>
    <w:div w:id="1367295729">
      <w:bodyDiv w:val="1"/>
      <w:marLeft w:val="0"/>
      <w:marRight w:val="0"/>
      <w:marTop w:val="0"/>
      <w:marBottom w:val="0"/>
      <w:divBdr>
        <w:top w:val="none" w:sz="0" w:space="0" w:color="auto"/>
        <w:left w:val="none" w:sz="0" w:space="0" w:color="auto"/>
        <w:bottom w:val="none" w:sz="0" w:space="0" w:color="auto"/>
        <w:right w:val="none" w:sz="0" w:space="0" w:color="auto"/>
      </w:divBdr>
    </w:div>
    <w:div w:id="1372611917">
      <w:bodyDiv w:val="1"/>
      <w:marLeft w:val="0"/>
      <w:marRight w:val="0"/>
      <w:marTop w:val="0"/>
      <w:marBottom w:val="0"/>
      <w:divBdr>
        <w:top w:val="none" w:sz="0" w:space="0" w:color="auto"/>
        <w:left w:val="none" w:sz="0" w:space="0" w:color="auto"/>
        <w:bottom w:val="none" w:sz="0" w:space="0" w:color="auto"/>
        <w:right w:val="none" w:sz="0" w:space="0" w:color="auto"/>
      </w:divBdr>
    </w:div>
    <w:div w:id="1376393378">
      <w:bodyDiv w:val="1"/>
      <w:marLeft w:val="0"/>
      <w:marRight w:val="0"/>
      <w:marTop w:val="0"/>
      <w:marBottom w:val="0"/>
      <w:divBdr>
        <w:top w:val="none" w:sz="0" w:space="0" w:color="auto"/>
        <w:left w:val="none" w:sz="0" w:space="0" w:color="auto"/>
        <w:bottom w:val="none" w:sz="0" w:space="0" w:color="auto"/>
        <w:right w:val="none" w:sz="0" w:space="0" w:color="auto"/>
      </w:divBdr>
    </w:div>
    <w:div w:id="1379933602">
      <w:bodyDiv w:val="1"/>
      <w:marLeft w:val="0"/>
      <w:marRight w:val="0"/>
      <w:marTop w:val="0"/>
      <w:marBottom w:val="0"/>
      <w:divBdr>
        <w:top w:val="none" w:sz="0" w:space="0" w:color="auto"/>
        <w:left w:val="none" w:sz="0" w:space="0" w:color="auto"/>
        <w:bottom w:val="none" w:sz="0" w:space="0" w:color="auto"/>
        <w:right w:val="none" w:sz="0" w:space="0" w:color="auto"/>
      </w:divBdr>
    </w:div>
    <w:div w:id="1413551838">
      <w:bodyDiv w:val="1"/>
      <w:marLeft w:val="0"/>
      <w:marRight w:val="0"/>
      <w:marTop w:val="0"/>
      <w:marBottom w:val="0"/>
      <w:divBdr>
        <w:top w:val="none" w:sz="0" w:space="0" w:color="auto"/>
        <w:left w:val="none" w:sz="0" w:space="0" w:color="auto"/>
        <w:bottom w:val="none" w:sz="0" w:space="0" w:color="auto"/>
        <w:right w:val="none" w:sz="0" w:space="0" w:color="auto"/>
      </w:divBdr>
    </w:div>
    <w:div w:id="1429038161">
      <w:bodyDiv w:val="1"/>
      <w:marLeft w:val="0"/>
      <w:marRight w:val="0"/>
      <w:marTop w:val="0"/>
      <w:marBottom w:val="0"/>
      <w:divBdr>
        <w:top w:val="none" w:sz="0" w:space="0" w:color="auto"/>
        <w:left w:val="none" w:sz="0" w:space="0" w:color="auto"/>
        <w:bottom w:val="none" w:sz="0" w:space="0" w:color="auto"/>
        <w:right w:val="none" w:sz="0" w:space="0" w:color="auto"/>
      </w:divBdr>
    </w:div>
    <w:div w:id="1429278834">
      <w:bodyDiv w:val="1"/>
      <w:marLeft w:val="0"/>
      <w:marRight w:val="0"/>
      <w:marTop w:val="0"/>
      <w:marBottom w:val="0"/>
      <w:divBdr>
        <w:top w:val="none" w:sz="0" w:space="0" w:color="auto"/>
        <w:left w:val="none" w:sz="0" w:space="0" w:color="auto"/>
        <w:bottom w:val="none" w:sz="0" w:space="0" w:color="auto"/>
        <w:right w:val="none" w:sz="0" w:space="0" w:color="auto"/>
      </w:divBdr>
    </w:div>
    <w:div w:id="1480539859">
      <w:bodyDiv w:val="1"/>
      <w:marLeft w:val="0"/>
      <w:marRight w:val="0"/>
      <w:marTop w:val="0"/>
      <w:marBottom w:val="0"/>
      <w:divBdr>
        <w:top w:val="none" w:sz="0" w:space="0" w:color="auto"/>
        <w:left w:val="none" w:sz="0" w:space="0" w:color="auto"/>
        <w:bottom w:val="none" w:sz="0" w:space="0" w:color="auto"/>
        <w:right w:val="none" w:sz="0" w:space="0" w:color="auto"/>
      </w:divBdr>
    </w:div>
    <w:div w:id="1498110780">
      <w:bodyDiv w:val="1"/>
      <w:marLeft w:val="0"/>
      <w:marRight w:val="0"/>
      <w:marTop w:val="0"/>
      <w:marBottom w:val="0"/>
      <w:divBdr>
        <w:top w:val="none" w:sz="0" w:space="0" w:color="auto"/>
        <w:left w:val="none" w:sz="0" w:space="0" w:color="auto"/>
        <w:bottom w:val="none" w:sz="0" w:space="0" w:color="auto"/>
        <w:right w:val="none" w:sz="0" w:space="0" w:color="auto"/>
      </w:divBdr>
    </w:div>
    <w:div w:id="1520391237">
      <w:bodyDiv w:val="1"/>
      <w:marLeft w:val="0"/>
      <w:marRight w:val="0"/>
      <w:marTop w:val="0"/>
      <w:marBottom w:val="0"/>
      <w:divBdr>
        <w:top w:val="none" w:sz="0" w:space="0" w:color="auto"/>
        <w:left w:val="none" w:sz="0" w:space="0" w:color="auto"/>
        <w:bottom w:val="none" w:sz="0" w:space="0" w:color="auto"/>
        <w:right w:val="none" w:sz="0" w:space="0" w:color="auto"/>
      </w:divBdr>
    </w:div>
    <w:div w:id="1532842599">
      <w:bodyDiv w:val="1"/>
      <w:marLeft w:val="0"/>
      <w:marRight w:val="0"/>
      <w:marTop w:val="0"/>
      <w:marBottom w:val="0"/>
      <w:divBdr>
        <w:top w:val="none" w:sz="0" w:space="0" w:color="auto"/>
        <w:left w:val="none" w:sz="0" w:space="0" w:color="auto"/>
        <w:bottom w:val="none" w:sz="0" w:space="0" w:color="auto"/>
        <w:right w:val="none" w:sz="0" w:space="0" w:color="auto"/>
      </w:divBdr>
    </w:div>
    <w:div w:id="1538851997">
      <w:bodyDiv w:val="1"/>
      <w:marLeft w:val="0"/>
      <w:marRight w:val="0"/>
      <w:marTop w:val="0"/>
      <w:marBottom w:val="0"/>
      <w:divBdr>
        <w:top w:val="none" w:sz="0" w:space="0" w:color="auto"/>
        <w:left w:val="none" w:sz="0" w:space="0" w:color="auto"/>
        <w:bottom w:val="none" w:sz="0" w:space="0" w:color="auto"/>
        <w:right w:val="none" w:sz="0" w:space="0" w:color="auto"/>
      </w:divBdr>
    </w:div>
    <w:div w:id="1548764254">
      <w:bodyDiv w:val="1"/>
      <w:marLeft w:val="0"/>
      <w:marRight w:val="0"/>
      <w:marTop w:val="0"/>
      <w:marBottom w:val="0"/>
      <w:divBdr>
        <w:top w:val="none" w:sz="0" w:space="0" w:color="auto"/>
        <w:left w:val="none" w:sz="0" w:space="0" w:color="auto"/>
        <w:bottom w:val="none" w:sz="0" w:space="0" w:color="auto"/>
        <w:right w:val="none" w:sz="0" w:space="0" w:color="auto"/>
      </w:divBdr>
    </w:div>
    <w:div w:id="1551921290">
      <w:bodyDiv w:val="1"/>
      <w:marLeft w:val="0"/>
      <w:marRight w:val="0"/>
      <w:marTop w:val="0"/>
      <w:marBottom w:val="0"/>
      <w:divBdr>
        <w:top w:val="none" w:sz="0" w:space="0" w:color="auto"/>
        <w:left w:val="none" w:sz="0" w:space="0" w:color="auto"/>
        <w:bottom w:val="none" w:sz="0" w:space="0" w:color="auto"/>
        <w:right w:val="none" w:sz="0" w:space="0" w:color="auto"/>
      </w:divBdr>
    </w:div>
    <w:div w:id="1557813925">
      <w:bodyDiv w:val="1"/>
      <w:marLeft w:val="0"/>
      <w:marRight w:val="0"/>
      <w:marTop w:val="0"/>
      <w:marBottom w:val="0"/>
      <w:divBdr>
        <w:top w:val="none" w:sz="0" w:space="0" w:color="auto"/>
        <w:left w:val="none" w:sz="0" w:space="0" w:color="auto"/>
        <w:bottom w:val="none" w:sz="0" w:space="0" w:color="auto"/>
        <w:right w:val="none" w:sz="0" w:space="0" w:color="auto"/>
      </w:divBdr>
    </w:div>
    <w:div w:id="1559055571">
      <w:bodyDiv w:val="1"/>
      <w:marLeft w:val="0"/>
      <w:marRight w:val="0"/>
      <w:marTop w:val="0"/>
      <w:marBottom w:val="0"/>
      <w:divBdr>
        <w:top w:val="none" w:sz="0" w:space="0" w:color="auto"/>
        <w:left w:val="none" w:sz="0" w:space="0" w:color="auto"/>
        <w:bottom w:val="none" w:sz="0" w:space="0" w:color="auto"/>
        <w:right w:val="none" w:sz="0" w:space="0" w:color="auto"/>
      </w:divBdr>
    </w:div>
    <w:div w:id="1563252699">
      <w:bodyDiv w:val="1"/>
      <w:marLeft w:val="0"/>
      <w:marRight w:val="0"/>
      <w:marTop w:val="0"/>
      <w:marBottom w:val="0"/>
      <w:divBdr>
        <w:top w:val="none" w:sz="0" w:space="0" w:color="auto"/>
        <w:left w:val="none" w:sz="0" w:space="0" w:color="auto"/>
        <w:bottom w:val="none" w:sz="0" w:space="0" w:color="auto"/>
        <w:right w:val="none" w:sz="0" w:space="0" w:color="auto"/>
      </w:divBdr>
    </w:div>
    <w:div w:id="1569225950">
      <w:bodyDiv w:val="1"/>
      <w:marLeft w:val="0"/>
      <w:marRight w:val="0"/>
      <w:marTop w:val="0"/>
      <w:marBottom w:val="0"/>
      <w:divBdr>
        <w:top w:val="none" w:sz="0" w:space="0" w:color="auto"/>
        <w:left w:val="none" w:sz="0" w:space="0" w:color="auto"/>
        <w:bottom w:val="none" w:sz="0" w:space="0" w:color="auto"/>
        <w:right w:val="none" w:sz="0" w:space="0" w:color="auto"/>
      </w:divBdr>
    </w:div>
    <w:div w:id="1579514735">
      <w:bodyDiv w:val="1"/>
      <w:marLeft w:val="0"/>
      <w:marRight w:val="0"/>
      <w:marTop w:val="0"/>
      <w:marBottom w:val="0"/>
      <w:divBdr>
        <w:top w:val="none" w:sz="0" w:space="0" w:color="auto"/>
        <w:left w:val="none" w:sz="0" w:space="0" w:color="auto"/>
        <w:bottom w:val="none" w:sz="0" w:space="0" w:color="auto"/>
        <w:right w:val="none" w:sz="0" w:space="0" w:color="auto"/>
      </w:divBdr>
    </w:div>
    <w:div w:id="1602956671">
      <w:bodyDiv w:val="1"/>
      <w:marLeft w:val="0"/>
      <w:marRight w:val="0"/>
      <w:marTop w:val="0"/>
      <w:marBottom w:val="0"/>
      <w:divBdr>
        <w:top w:val="none" w:sz="0" w:space="0" w:color="auto"/>
        <w:left w:val="none" w:sz="0" w:space="0" w:color="auto"/>
        <w:bottom w:val="none" w:sz="0" w:space="0" w:color="auto"/>
        <w:right w:val="none" w:sz="0" w:space="0" w:color="auto"/>
      </w:divBdr>
    </w:div>
    <w:div w:id="1609578883">
      <w:bodyDiv w:val="1"/>
      <w:marLeft w:val="0"/>
      <w:marRight w:val="0"/>
      <w:marTop w:val="0"/>
      <w:marBottom w:val="0"/>
      <w:divBdr>
        <w:top w:val="none" w:sz="0" w:space="0" w:color="auto"/>
        <w:left w:val="none" w:sz="0" w:space="0" w:color="auto"/>
        <w:bottom w:val="none" w:sz="0" w:space="0" w:color="auto"/>
        <w:right w:val="none" w:sz="0" w:space="0" w:color="auto"/>
      </w:divBdr>
    </w:div>
    <w:div w:id="1627538167">
      <w:bodyDiv w:val="1"/>
      <w:marLeft w:val="0"/>
      <w:marRight w:val="0"/>
      <w:marTop w:val="0"/>
      <w:marBottom w:val="0"/>
      <w:divBdr>
        <w:top w:val="none" w:sz="0" w:space="0" w:color="auto"/>
        <w:left w:val="none" w:sz="0" w:space="0" w:color="auto"/>
        <w:bottom w:val="none" w:sz="0" w:space="0" w:color="auto"/>
        <w:right w:val="none" w:sz="0" w:space="0" w:color="auto"/>
      </w:divBdr>
    </w:div>
    <w:div w:id="1639796397">
      <w:bodyDiv w:val="1"/>
      <w:marLeft w:val="0"/>
      <w:marRight w:val="0"/>
      <w:marTop w:val="0"/>
      <w:marBottom w:val="0"/>
      <w:divBdr>
        <w:top w:val="none" w:sz="0" w:space="0" w:color="auto"/>
        <w:left w:val="none" w:sz="0" w:space="0" w:color="auto"/>
        <w:bottom w:val="none" w:sz="0" w:space="0" w:color="auto"/>
        <w:right w:val="none" w:sz="0" w:space="0" w:color="auto"/>
      </w:divBdr>
    </w:div>
    <w:div w:id="1651204473">
      <w:bodyDiv w:val="1"/>
      <w:marLeft w:val="0"/>
      <w:marRight w:val="0"/>
      <w:marTop w:val="0"/>
      <w:marBottom w:val="0"/>
      <w:divBdr>
        <w:top w:val="none" w:sz="0" w:space="0" w:color="auto"/>
        <w:left w:val="none" w:sz="0" w:space="0" w:color="auto"/>
        <w:bottom w:val="none" w:sz="0" w:space="0" w:color="auto"/>
        <w:right w:val="none" w:sz="0" w:space="0" w:color="auto"/>
      </w:divBdr>
    </w:div>
    <w:div w:id="1654723787">
      <w:bodyDiv w:val="1"/>
      <w:marLeft w:val="0"/>
      <w:marRight w:val="0"/>
      <w:marTop w:val="0"/>
      <w:marBottom w:val="0"/>
      <w:divBdr>
        <w:top w:val="none" w:sz="0" w:space="0" w:color="auto"/>
        <w:left w:val="none" w:sz="0" w:space="0" w:color="auto"/>
        <w:bottom w:val="none" w:sz="0" w:space="0" w:color="auto"/>
        <w:right w:val="none" w:sz="0" w:space="0" w:color="auto"/>
      </w:divBdr>
    </w:div>
    <w:div w:id="1661807498">
      <w:bodyDiv w:val="1"/>
      <w:marLeft w:val="0"/>
      <w:marRight w:val="0"/>
      <w:marTop w:val="0"/>
      <w:marBottom w:val="0"/>
      <w:divBdr>
        <w:top w:val="none" w:sz="0" w:space="0" w:color="auto"/>
        <w:left w:val="none" w:sz="0" w:space="0" w:color="auto"/>
        <w:bottom w:val="none" w:sz="0" w:space="0" w:color="auto"/>
        <w:right w:val="none" w:sz="0" w:space="0" w:color="auto"/>
      </w:divBdr>
    </w:div>
    <w:div w:id="1662343815">
      <w:bodyDiv w:val="1"/>
      <w:marLeft w:val="0"/>
      <w:marRight w:val="0"/>
      <w:marTop w:val="0"/>
      <w:marBottom w:val="0"/>
      <w:divBdr>
        <w:top w:val="none" w:sz="0" w:space="0" w:color="auto"/>
        <w:left w:val="none" w:sz="0" w:space="0" w:color="auto"/>
        <w:bottom w:val="none" w:sz="0" w:space="0" w:color="auto"/>
        <w:right w:val="none" w:sz="0" w:space="0" w:color="auto"/>
      </w:divBdr>
    </w:div>
    <w:div w:id="1699963627">
      <w:bodyDiv w:val="1"/>
      <w:marLeft w:val="0"/>
      <w:marRight w:val="0"/>
      <w:marTop w:val="0"/>
      <w:marBottom w:val="0"/>
      <w:divBdr>
        <w:top w:val="none" w:sz="0" w:space="0" w:color="auto"/>
        <w:left w:val="none" w:sz="0" w:space="0" w:color="auto"/>
        <w:bottom w:val="none" w:sz="0" w:space="0" w:color="auto"/>
        <w:right w:val="none" w:sz="0" w:space="0" w:color="auto"/>
      </w:divBdr>
    </w:div>
    <w:div w:id="1725982705">
      <w:bodyDiv w:val="1"/>
      <w:marLeft w:val="0"/>
      <w:marRight w:val="0"/>
      <w:marTop w:val="0"/>
      <w:marBottom w:val="0"/>
      <w:divBdr>
        <w:top w:val="none" w:sz="0" w:space="0" w:color="auto"/>
        <w:left w:val="none" w:sz="0" w:space="0" w:color="auto"/>
        <w:bottom w:val="none" w:sz="0" w:space="0" w:color="auto"/>
        <w:right w:val="none" w:sz="0" w:space="0" w:color="auto"/>
      </w:divBdr>
    </w:div>
    <w:div w:id="1779596684">
      <w:bodyDiv w:val="1"/>
      <w:marLeft w:val="0"/>
      <w:marRight w:val="0"/>
      <w:marTop w:val="0"/>
      <w:marBottom w:val="0"/>
      <w:divBdr>
        <w:top w:val="none" w:sz="0" w:space="0" w:color="auto"/>
        <w:left w:val="none" w:sz="0" w:space="0" w:color="auto"/>
        <w:bottom w:val="none" w:sz="0" w:space="0" w:color="auto"/>
        <w:right w:val="none" w:sz="0" w:space="0" w:color="auto"/>
      </w:divBdr>
    </w:div>
    <w:div w:id="1794322948">
      <w:bodyDiv w:val="1"/>
      <w:marLeft w:val="0"/>
      <w:marRight w:val="0"/>
      <w:marTop w:val="0"/>
      <w:marBottom w:val="0"/>
      <w:divBdr>
        <w:top w:val="none" w:sz="0" w:space="0" w:color="auto"/>
        <w:left w:val="none" w:sz="0" w:space="0" w:color="auto"/>
        <w:bottom w:val="none" w:sz="0" w:space="0" w:color="auto"/>
        <w:right w:val="none" w:sz="0" w:space="0" w:color="auto"/>
      </w:divBdr>
    </w:div>
    <w:div w:id="1815440912">
      <w:bodyDiv w:val="1"/>
      <w:marLeft w:val="0"/>
      <w:marRight w:val="0"/>
      <w:marTop w:val="0"/>
      <w:marBottom w:val="0"/>
      <w:divBdr>
        <w:top w:val="none" w:sz="0" w:space="0" w:color="auto"/>
        <w:left w:val="none" w:sz="0" w:space="0" w:color="auto"/>
        <w:bottom w:val="none" w:sz="0" w:space="0" w:color="auto"/>
        <w:right w:val="none" w:sz="0" w:space="0" w:color="auto"/>
      </w:divBdr>
    </w:div>
    <w:div w:id="1817381830">
      <w:bodyDiv w:val="1"/>
      <w:marLeft w:val="0"/>
      <w:marRight w:val="0"/>
      <w:marTop w:val="0"/>
      <w:marBottom w:val="0"/>
      <w:divBdr>
        <w:top w:val="none" w:sz="0" w:space="0" w:color="auto"/>
        <w:left w:val="none" w:sz="0" w:space="0" w:color="auto"/>
        <w:bottom w:val="none" w:sz="0" w:space="0" w:color="auto"/>
        <w:right w:val="none" w:sz="0" w:space="0" w:color="auto"/>
      </w:divBdr>
    </w:div>
    <w:div w:id="1822455272">
      <w:bodyDiv w:val="1"/>
      <w:marLeft w:val="0"/>
      <w:marRight w:val="0"/>
      <w:marTop w:val="0"/>
      <w:marBottom w:val="0"/>
      <w:divBdr>
        <w:top w:val="none" w:sz="0" w:space="0" w:color="auto"/>
        <w:left w:val="none" w:sz="0" w:space="0" w:color="auto"/>
        <w:bottom w:val="none" w:sz="0" w:space="0" w:color="auto"/>
        <w:right w:val="none" w:sz="0" w:space="0" w:color="auto"/>
      </w:divBdr>
    </w:div>
    <w:div w:id="1827430534">
      <w:bodyDiv w:val="1"/>
      <w:marLeft w:val="0"/>
      <w:marRight w:val="0"/>
      <w:marTop w:val="0"/>
      <w:marBottom w:val="0"/>
      <w:divBdr>
        <w:top w:val="none" w:sz="0" w:space="0" w:color="auto"/>
        <w:left w:val="none" w:sz="0" w:space="0" w:color="auto"/>
        <w:bottom w:val="none" w:sz="0" w:space="0" w:color="auto"/>
        <w:right w:val="none" w:sz="0" w:space="0" w:color="auto"/>
      </w:divBdr>
    </w:div>
    <w:div w:id="1834956652">
      <w:bodyDiv w:val="1"/>
      <w:marLeft w:val="0"/>
      <w:marRight w:val="0"/>
      <w:marTop w:val="0"/>
      <w:marBottom w:val="0"/>
      <w:divBdr>
        <w:top w:val="none" w:sz="0" w:space="0" w:color="auto"/>
        <w:left w:val="none" w:sz="0" w:space="0" w:color="auto"/>
        <w:bottom w:val="none" w:sz="0" w:space="0" w:color="auto"/>
        <w:right w:val="none" w:sz="0" w:space="0" w:color="auto"/>
      </w:divBdr>
    </w:div>
    <w:div w:id="1888293296">
      <w:bodyDiv w:val="1"/>
      <w:marLeft w:val="0"/>
      <w:marRight w:val="0"/>
      <w:marTop w:val="0"/>
      <w:marBottom w:val="0"/>
      <w:divBdr>
        <w:top w:val="none" w:sz="0" w:space="0" w:color="auto"/>
        <w:left w:val="none" w:sz="0" w:space="0" w:color="auto"/>
        <w:bottom w:val="none" w:sz="0" w:space="0" w:color="auto"/>
        <w:right w:val="none" w:sz="0" w:space="0" w:color="auto"/>
      </w:divBdr>
    </w:div>
    <w:div w:id="1912883051">
      <w:bodyDiv w:val="1"/>
      <w:marLeft w:val="0"/>
      <w:marRight w:val="0"/>
      <w:marTop w:val="0"/>
      <w:marBottom w:val="0"/>
      <w:divBdr>
        <w:top w:val="none" w:sz="0" w:space="0" w:color="auto"/>
        <w:left w:val="none" w:sz="0" w:space="0" w:color="auto"/>
        <w:bottom w:val="none" w:sz="0" w:space="0" w:color="auto"/>
        <w:right w:val="none" w:sz="0" w:space="0" w:color="auto"/>
      </w:divBdr>
    </w:div>
    <w:div w:id="1974673447">
      <w:bodyDiv w:val="1"/>
      <w:marLeft w:val="0"/>
      <w:marRight w:val="0"/>
      <w:marTop w:val="0"/>
      <w:marBottom w:val="0"/>
      <w:divBdr>
        <w:top w:val="none" w:sz="0" w:space="0" w:color="auto"/>
        <w:left w:val="none" w:sz="0" w:space="0" w:color="auto"/>
        <w:bottom w:val="none" w:sz="0" w:space="0" w:color="auto"/>
        <w:right w:val="none" w:sz="0" w:space="0" w:color="auto"/>
      </w:divBdr>
    </w:div>
    <w:div w:id="1988046704">
      <w:bodyDiv w:val="1"/>
      <w:marLeft w:val="0"/>
      <w:marRight w:val="0"/>
      <w:marTop w:val="0"/>
      <w:marBottom w:val="0"/>
      <w:divBdr>
        <w:top w:val="none" w:sz="0" w:space="0" w:color="auto"/>
        <w:left w:val="none" w:sz="0" w:space="0" w:color="auto"/>
        <w:bottom w:val="none" w:sz="0" w:space="0" w:color="auto"/>
        <w:right w:val="none" w:sz="0" w:space="0" w:color="auto"/>
      </w:divBdr>
    </w:div>
    <w:div w:id="1990555368">
      <w:bodyDiv w:val="1"/>
      <w:marLeft w:val="0"/>
      <w:marRight w:val="0"/>
      <w:marTop w:val="0"/>
      <w:marBottom w:val="0"/>
      <w:divBdr>
        <w:top w:val="none" w:sz="0" w:space="0" w:color="auto"/>
        <w:left w:val="none" w:sz="0" w:space="0" w:color="auto"/>
        <w:bottom w:val="none" w:sz="0" w:space="0" w:color="auto"/>
        <w:right w:val="none" w:sz="0" w:space="0" w:color="auto"/>
      </w:divBdr>
    </w:div>
    <w:div w:id="1997107763">
      <w:bodyDiv w:val="1"/>
      <w:marLeft w:val="0"/>
      <w:marRight w:val="0"/>
      <w:marTop w:val="0"/>
      <w:marBottom w:val="0"/>
      <w:divBdr>
        <w:top w:val="none" w:sz="0" w:space="0" w:color="auto"/>
        <w:left w:val="none" w:sz="0" w:space="0" w:color="auto"/>
        <w:bottom w:val="none" w:sz="0" w:space="0" w:color="auto"/>
        <w:right w:val="none" w:sz="0" w:space="0" w:color="auto"/>
      </w:divBdr>
    </w:div>
    <w:div w:id="2018654197">
      <w:bodyDiv w:val="1"/>
      <w:marLeft w:val="0"/>
      <w:marRight w:val="0"/>
      <w:marTop w:val="0"/>
      <w:marBottom w:val="0"/>
      <w:divBdr>
        <w:top w:val="none" w:sz="0" w:space="0" w:color="auto"/>
        <w:left w:val="none" w:sz="0" w:space="0" w:color="auto"/>
        <w:bottom w:val="none" w:sz="0" w:space="0" w:color="auto"/>
        <w:right w:val="none" w:sz="0" w:space="0" w:color="auto"/>
      </w:divBdr>
    </w:div>
    <w:div w:id="2039232506">
      <w:bodyDiv w:val="1"/>
      <w:marLeft w:val="0"/>
      <w:marRight w:val="0"/>
      <w:marTop w:val="0"/>
      <w:marBottom w:val="0"/>
      <w:divBdr>
        <w:top w:val="none" w:sz="0" w:space="0" w:color="auto"/>
        <w:left w:val="none" w:sz="0" w:space="0" w:color="auto"/>
        <w:bottom w:val="none" w:sz="0" w:space="0" w:color="auto"/>
        <w:right w:val="none" w:sz="0" w:space="0" w:color="auto"/>
      </w:divBdr>
    </w:div>
    <w:div w:id="2057385756">
      <w:bodyDiv w:val="1"/>
      <w:marLeft w:val="0"/>
      <w:marRight w:val="0"/>
      <w:marTop w:val="0"/>
      <w:marBottom w:val="0"/>
      <w:divBdr>
        <w:top w:val="none" w:sz="0" w:space="0" w:color="auto"/>
        <w:left w:val="none" w:sz="0" w:space="0" w:color="auto"/>
        <w:bottom w:val="none" w:sz="0" w:space="0" w:color="auto"/>
        <w:right w:val="none" w:sz="0" w:space="0" w:color="auto"/>
      </w:divBdr>
    </w:div>
    <w:div w:id="2072344327">
      <w:bodyDiv w:val="1"/>
      <w:marLeft w:val="0"/>
      <w:marRight w:val="0"/>
      <w:marTop w:val="0"/>
      <w:marBottom w:val="0"/>
      <w:divBdr>
        <w:top w:val="none" w:sz="0" w:space="0" w:color="auto"/>
        <w:left w:val="none" w:sz="0" w:space="0" w:color="auto"/>
        <w:bottom w:val="none" w:sz="0" w:space="0" w:color="auto"/>
        <w:right w:val="none" w:sz="0" w:space="0" w:color="auto"/>
      </w:divBdr>
    </w:div>
    <w:div w:id="2096784861">
      <w:bodyDiv w:val="1"/>
      <w:marLeft w:val="0"/>
      <w:marRight w:val="0"/>
      <w:marTop w:val="0"/>
      <w:marBottom w:val="0"/>
      <w:divBdr>
        <w:top w:val="none" w:sz="0" w:space="0" w:color="auto"/>
        <w:left w:val="none" w:sz="0" w:space="0" w:color="auto"/>
        <w:bottom w:val="none" w:sz="0" w:space="0" w:color="auto"/>
        <w:right w:val="none" w:sz="0" w:space="0" w:color="auto"/>
      </w:divBdr>
    </w:div>
    <w:div w:id="2099010958">
      <w:bodyDiv w:val="1"/>
      <w:marLeft w:val="0"/>
      <w:marRight w:val="0"/>
      <w:marTop w:val="0"/>
      <w:marBottom w:val="0"/>
      <w:divBdr>
        <w:top w:val="none" w:sz="0" w:space="0" w:color="auto"/>
        <w:left w:val="none" w:sz="0" w:space="0" w:color="auto"/>
        <w:bottom w:val="none" w:sz="0" w:space="0" w:color="auto"/>
        <w:right w:val="none" w:sz="0" w:space="0" w:color="auto"/>
      </w:divBdr>
    </w:div>
    <w:div w:id="2102143145">
      <w:bodyDiv w:val="1"/>
      <w:marLeft w:val="0"/>
      <w:marRight w:val="0"/>
      <w:marTop w:val="0"/>
      <w:marBottom w:val="0"/>
      <w:divBdr>
        <w:top w:val="none" w:sz="0" w:space="0" w:color="auto"/>
        <w:left w:val="none" w:sz="0" w:space="0" w:color="auto"/>
        <w:bottom w:val="none" w:sz="0" w:space="0" w:color="auto"/>
        <w:right w:val="none" w:sz="0" w:space="0" w:color="auto"/>
      </w:divBdr>
    </w:div>
    <w:div w:id="2109425309">
      <w:bodyDiv w:val="1"/>
      <w:marLeft w:val="0"/>
      <w:marRight w:val="0"/>
      <w:marTop w:val="0"/>
      <w:marBottom w:val="0"/>
      <w:divBdr>
        <w:top w:val="none" w:sz="0" w:space="0" w:color="auto"/>
        <w:left w:val="none" w:sz="0" w:space="0" w:color="auto"/>
        <w:bottom w:val="none" w:sz="0" w:space="0" w:color="auto"/>
        <w:right w:val="none" w:sz="0" w:space="0" w:color="auto"/>
      </w:divBdr>
    </w:div>
    <w:div w:id="2121755801">
      <w:bodyDiv w:val="1"/>
      <w:marLeft w:val="0"/>
      <w:marRight w:val="0"/>
      <w:marTop w:val="0"/>
      <w:marBottom w:val="0"/>
      <w:divBdr>
        <w:top w:val="none" w:sz="0" w:space="0" w:color="auto"/>
        <w:left w:val="none" w:sz="0" w:space="0" w:color="auto"/>
        <w:bottom w:val="none" w:sz="0" w:space="0" w:color="auto"/>
        <w:right w:val="none" w:sz="0" w:space="0" w:color="auto"/>
      </w:divBdr>
    </w:div>
    <w:div w:id="2125225483">
      <w:bodyDiv w:val="1"/>
      <w:marLeft w:val="0"/>
      <w:marRight w:val="0"/>
      <w:marTop w:val="0"/>
      <w:marBottom w:val="0"/>
      <w:divBdr>
        <w:top w:val="none" w:sz="0" w:space="0" w:color="auto"/>
        <w:left w:val="none" w:sz="0" w:space="0" w:color="auto"/>
        <w:bottom w:val="none" w:sz="0" w:space="0" w:color="auto"/>
        <w:right w:val="none" w:sz="0" w:space="0" w:color="auto"/>
      </w:divBdr>
    </w:div>
    <w:div w:id="2135127825">
      <w:bodyDiv w:val="1"/>
      <w:marLeft w:val="0"/>
      <w:marRight w:val="0"/>
      <w:marTop w:val="0"/>
      <w:marBottom w:val="0"/>
      <w:divBdr>
        <w:top w:val="none" w:sz="0" w:space="0" w:color="auto"/>
        <w:left w:val="none" w:sz="0" w:space="0" w:color="auto"/>
        <w:bottom w:val="none" w:sz="0" w:space="0" w:color="auto"/>
        <w:right w:val="none" w:sz="0" w:space="0" w:color="auto"/>
      </w:divBdr>
    </w:div>
    <w:div w:id="2146920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hyperlink" Target="http://https/www.fidelity.cz"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yperlink" Target="http://https/www.fidelityinternational.com" TargetMode="External"/><Relationship Id="rId2" Type="http://schemas.openxmlformats.org/officeDocument/2006/relationships/customXml" Target="../customXml/item2.xml"/><Relationship Id="rId16" Type="http://schemas.openxmlformats.org/officeDocument/2006/relationships/hyperlink" Target="mailto:eliska.krohova@crestcom.cz"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image" Target="media/image5.jp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582c5473-2b97-4cd0-ba19-d66cd0f46ac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4DA9842DBA47FB4F97EE05D15FAAB50A" ma:contentTypeVersion="4" ma:contentTypeDescription="Vytvoří nový dokument" ma:contentTypeScope="" ma:versionID="6f9644b4e43d6333fe68447961a283bf">
  <xsd:schema xmlns:xsd="http://www.w3.org/2001/XMLSchema" xmlns:xs="http://www.w3.org/2001/XMLSchema" xmlns:p="http://schemas.microsoft.com/office/2006/metadata/properties" xmlns:ns3="582c5473-2b97-4cd0-ba19-d66cd0f46ac6" targetNamespace="http://schemas.microsoft.com/office/2006/metadata/properties" ma:root="true" ma:fieldsID="52da21f40bf929f7e4944f73f6eb16e5" ns3:_="">
    <xsd:import namespace="582c5473-2b97-4cd0-ba19-d66cd0f46ac6"/>
    <xsd:element name="properties">
      <xsd:complexType>
        <xsd:sequence>
          <xsd:element name="documentManagement">
            <xsd:complexType>
              <xsd:all>
                <xsd:element ref="ns3:MediaServiceMetadata" minOccurs="0"/>
                <xsd:element ref="ns3:MediaServiceFastMetadata"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2c5473-2b97-4cd0-ba19-d66cd0f46a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3F1069-DFF9-4822-8ACC-59BB7CBADAA3}">
  <ds:schemaRefs>
    <ds:schemaRef ds:uri="http://schemas.openxmlformats.org/officeDocument/2006/bibliography"/>
  </ds:schemaRefs>
</ds:datastoreItem>
</file>

<file path=customXml/itemProps2.xml><?xml version="1.0" encoding="utf-8"?>
<ds:datastoreItem xmlns:ds="http://schemas.openxmlformats.org/officeDocument/2006/customXml" ds:itemID="{6FF2901F-9299-4A9A-817D-EAA7280ADC3F}">
  <ds:schemaRefs>
    <ds:schemaRef ds:uri="http://schemas.microsoft.com/sharepoint/v3/contenttype/forms"/>
  </ds:schemaRefs>
</ds:datastoreItem>
</file>

<file path=customXml/itemProps3.xml><?xml version="1.0" encoding="utf-8"?>
<ds:datastoreItem xmlns:ds="http://schemas.openxmlformats.org/officeDocument/2006/customXml" ds:itemID="{2F663A9B-5F35-4DB3-B406-110DCFBB6C4E}">
  <ds:schemaRefs>
    <ds:schemaRef ds:uri="http://schemas.microsoft.com/office/2006/metadata/properties"/>
    <ds:schemaRef ds:uri="http://schemas.microsoft.com/office/infopath/2007/PartnerControls"/>
    <ds:schemaRef ds:uri="582c5473-2b97-4cd0-ba19-d66cd0f46ac6"/>
  </ds:schemaRefs>
</ds:datastoreItem>
</file>

<file path=customXml/itemProps4.xml><?xml version="1.0" encoding="utf-8"?>
<ds:datastoreItem xmlns:ds="http://schemas.openxmlformats.org/officeDocument/2006/customXml" ds:itemID="{15A7AA92-9CB9-4BF8-B360-F6AABA4F8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2c5473-2b97-4cd0-ba19-d66cd0f46a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Pages>
  <Words>2144</Words>
  <Characters>12653</Characters>
  <Application>Microsoft Office Word</Application>
  <DocSecurity>0</DocSecurity>
  <Lines>105</Lines>
  <Paragraphs>29</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Dokument</vt:lpstr>
      <vt:lpstr>Dokument</vt:lpstr>
    </vt:vector>
  </TitlesOfParts>
  <Company>TPA-NOTIA, s.r.o.</Company>
  <LinksUpToDate>false</LinksUpToDate>
  <CharactersWithSpaces>14768</CharactersWithSpaces>
  <SharedDoc>false</SharedDoc>
  <HLinks>
    <vt:vector size="18" baseType="variant">
      <vt:variant>
        <vt:i4>7012365</vt:i4>
      </vt:variant>
      <vt:variant>
        <vt:i4>9</vt:i4>
      </vt:variant>
      <vt:variant>
        <vt:i4>0</vt:i4>
      </vt:variant>
      <vt:variant>
        <vt:i4>5</vt:i4>
      </vt:variant>
      <vt:variant>
        <vt:lpwstr>mailto:eliska.krohova@crestcom.cz</vt:lpwstr>
      </vt:variant>
      <vt:variant>
        <vt:lpwstr/>
      </vt:variant>
      <vt:variant>
        <vt:i4>1572878</vt:i4>
      </vt:variant>
      <vt:variant>
        <vt:i4>-1</vt:i4>
      </vt:variant>
      <vt:variant>
        <vt:i4>1033</vt:i4>
      </vt:variant>
      <vt:variant>
        <vt:i4>4</vt:i4>
      </vt:variant>
      <vt:variant>
        <vt:lpwstr>https://www.fidelity.cz/</vt:lpwstr>
      </vt:variant>
      <vt:variant>
        <vt:lpwstr/>
      </vt:variant>
      <vt:variant>
        <vt:i4>1572878</vt:i4>
      </vt:variant>
      <vt:variant>
        <vt:i4>-1</vt:i4>
      </vt:variant>
      <vt:variant>
        <vt:i4>1032</vt:i4>
      </vt:variant>
      <vt:variant>
        <vt:i4>4</vt:i4>
      </vt:variant>
      <vt:variant>
        <vt:lpwstr>https://www.fidelity.cz/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Dokument</dc:title>
  <dc:creator>Martina Lambert</dc:creator>
  <cp:lastModifiedBy>Jana Bělochová | CrestCommunications a.s.</cp:lastModifiedBy>
  <cp:revision>5</cp:revision>
  <cp:lastPrinted>2015-11-30T16:29:00Z</cp:lastPrinted>
  <dcterms:created xsi:type="dcterms:W3CDTF">2026-10-23T07:23:00Z</dcterms:created>
  <dcterms:modified xsi:type="dcterms:W3CDTF">2026-10-23T07:29:00Z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0x0101004DA9842DBA47FB4F97EE05D15FAAB50A</vt:lpwstr>
  </property>
  <property fmtid="{D5CDD505-2E9C-101B-9397-08002B2CF9AE}" pid="3" name="MSIP_Label_be873328-34e0-4f6c-84cb-dd757c63c1a0_Enabled">
    <vt:lpwstr>true</vt:lpwstr>
  </property>
  <property fmtid="{D5CDD505-2E9C-101B-9397-08002B2CF9AE}" pid="4" name="MSIP_Label_be873328-34e0-4f6c-84cb-dd757c63c1a0_SetDate">
    <vt:lpwstr>2023-03-20T14:00:05Z</vt:lpwstr>
  </property>
  <property fmtid="{D5CDD505-2E9C-101B-9397-08002B2CF9AE}" pid="5" name="MSIP_Label_be873328-34e0-4f6c-84cb-dd757c63c1a0_Method">
    <vt:lpwstr>Privileged</vt:lpwstr>
  </property>
  <property fmtid="{D5CDD505-2E9C-101B-9397-08002B2CF9AE}" pid="6" name="MSIP_Label_be873328-34e0-4f6c-84cb-dd757c63c1a0_Name">
    <vt:lpwstr>FIL-Internal</vt:lpwstr>
  </property>
  <property fmtid="{D5CDD505-2E9C-101B-9397-08002B2CF9AE}" pid="7" name="MSIP_Label_be873328-34e0-4f6c-84cb-dd757c63c1a0_SiteId">
    <vt:lpwstr>6b94db52-3791-432c-b97e-871411cd202e</vt:lpwstr>
  </property>
  <property fmtid="{D5CDD505-2E9C-101B-9397-08002B2CF9AE}" pid="8" name="MSIP_Label_be873328-34e0-4f6c-84cb-dd757c63c1a0_ActionId">
    <vt:lpwstr>8add6277-4d5f-4a76-983e-75d9da0c44e6</vt:lpwstr>
  </property>
  <property fmtid="{D5CDD505-2E9C-101B-9397-08002B2CF9AE}" pid="9" name="MSIP_Label_be873328-34e0-4f6c-84cb-dd757c63c1a0_ContentBits">
    <vt:lpwstr>0</vt:lpwstr>
  </property>
</Properties>
</file>